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11" w:rsidRPr="00964D6B" w:rsidRDefault="00804511" w:rsidP="00804511">
      <w:pPr>
        <w:widowControl/>
        <w:pBdr>
          <w:top w:val="nil"/>
          <w:left w:val="nil"/>
          <w:bottom w:val="nil"/>
          <w:right w:val="nil"/>
          <w:between w:val="nil"/>
        </w:pBdr>
        <w:spacing w:after="280"/>
        <w:ind w:left="1" w:hanging="3"/>
        <w:jc w:val="center"/>
        <w:rPr>
          <w:rFonts w:ascii="標楷體" w:eastAsia="標楷體" w:hAnsi="標楷體" w:cs="MingLiu"/>
          <w:color w:val="000000"/>
          <w:sz w:val="32"/>
          <w:szCs w:val="32"/>
        </w:rPr>
      </w:pPr>
      <w:r w:rsidRPr="00964D6B">
        <w:rPr>
          <w:rFonts w:ascii="標楷體" w:eastAsia="標楷體" w:hAnsi="標楷體" w:cs="MingLiu"/>
          <w:b/>
          <w:color w:val="000000"/>
          <w:sz w:val="32"/>
          <w:szCs w:val="32"/>
        </w:rPr>
        <w:t>高雄縣私立旗美高級</w:t>
      </w:r>
      <w:r w:rsidRPr="00964D6B">
        <w:rPr>
          <w:rFonts w:ascii="標楷體" w:eastAsia="標楷體" w:hAnsi="標楷體" w:cs="MingLiu"/>
          <w:b/>
          <w:sz w:val="32"/>
          <w:szCs w:val="32"/>
        </w:rPr>
        <w:t>商工</w:t>
      </w:r>
      <w:r w:rsidRPr="00964D6B">
        <w:rPr>
          <w:rFonts w:ascii="標楷體" w:eastAsia="標楷體" w:hAnsi="標楷體" w:cs="MingLiu" w:hint="eastAsia"/>
          <w:b/>
          <w:color w:val="000000"/>
          <w:sz w:val="32"/>
          <w:szCs w:val="32"/>
        </w:rPr>
        <w:t>職業學校</w:t>
      </w:r>
      <w:r w:rsidRPr="00964D6B">
        <w:rPr>
          <w:rFonts w:ascii="標楷體" w:eastAsia="標楷體" w:hAnsi="標楷體" w:cs="MingLiu"/>
          <w:b/>
          <w:color w:val="000000"/>
          <w:sz w:val="32"/>
          <w:szCs w:val="32"/>
        </w:rPr>
        <w:t>財產管理辦法</w:t>
      </w:r>
    </w:p>
    <w:p w:rsidR="00804511" w:rsidRPr="00804511" w:rsidRDefault="00804511" w:rsidP="00804511">
      <w:pPr>
        <w:widowControl/>
        <w:pBdr>
          <w:top w:val="nil"/>
          <w:left w:val="nil"/>
          <w:bottom w:val="nil"/>
          <w:right w:val="nil"/>
          <w:between w:val="nil"/>
        </w:pBdr>
        <w:ind w:hanging="2"/>
        <w:jc w:val="right"/>
        <w:rPr>
          <w:rFonts w:ascii="標楷體" w:eastAsia="標楷體" w:hAnsi="標楷體" w:cs="BiauKai"/>
          <w:color w:val="000000"/>
          <w:sz w:val="20"/>
          <w:szCs w:val="20"/>
        </w:rPr>
      </w:pPr>
      <w:bookmarkStart w:id="0" w:name="_GoBack"/>
      <w:bookmarkEnd w:id="0"/>
      <w:r w:rsidRPr="00804511">
        <w:rPr>
          <w:rFonts w:ascii="標楷體" w:eastAsia="標楷體" w:hAnsi="標楷體" w:cs="BiauKai"/>
          <w:color w:val="000000"/>
          <w:sz w:val="20"/>
          <w:szCs w:val="20"/>
        </w:rPr>
        <w:t>108年8月30日108學年度第1學期</w:t>
      </w:r>
      <w:proofErr w:type="gramStart"/>
      <w:r w:rsidRPr="00804511">
        <w:rPr>
          <w:rFonts w:ascii="標楷體" w:eastAsia="標楷體" w:hAnsi="標楷體" w:cs="BiauKai"/>
          <w:color w:val="000000"/>
          <w:sz w:val="20"/>
          <w:szCs w:val="20"/>
        </w:rPr>
        <w:t>期</w:t>
      </w:r>
      <w:proofErr w:type="gramEnd"/>
      <w:r w:rsidRPr="00804511">
        <w:rPr>
          <w:rFonts w:ascii="標楷體" w:eastAsia="標楷體" w:hAnsi="標楷體" w:cs="BiauKai"/>
          <w:color w:val="000000"/>
          <w:sz w:val="20"/>
          <w:szCs w:val="20"/>
        </w:rPr>
        <w:t>初校務會議修正通過</w:t>
      </w:r>
    </w:p>
    <w:p w:rsidR="00804511" w:rsidRPr="00B509BB" w:rsidRDefault="00804511" w:rsidP="00804511">
      <w:pPr>
        <w:widowControl/>
        <w:pBdr>
          <w:top w:val="nil"/>
          <w:left w:val="nil"/>
          <w:bottom w:val="nil"/>
          <w:right w:val="nil"/>
          <w:between w:val="nil"/>
        </w:pBdr>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第一章     總  則</w:t>
      </w:r>
    </w:p>
    <w:p w:rsidR="00804511" w:rsidRPr="00B509BB" w:rsidRDefault="00804511" w:rsidP="00804511">
      <w:pPr>
        <w:widowControl/>
        <w:pBdr>
          <w:top w:val="nil"/>
          <w:left w:val="nil"/>
          <w:bottom w:val="nil"/>
          <w:right w:val="nil"/>
          <w:between w:val="nil"/>
        </w:pBdr>
        <w:spacing w:before="280" w:after="280"/>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 一 條  為使本校之財產得以有效管理、作業標準化，建立制度，特訂定財產管理作業辦法〈以下簡稱本辦法〉。</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第 二 條  本辦法依據行政院頒行之「財物標準分類」，並考量本校實際狀況訂定之。 </w:t>
      </w:r>
    </w:p>
    <w:p w:rsidR="00804511" w:rsidRPr="00B509BB" w:rsidRDefault="00804511" w:rsidP="00804511">
      <w:pPr>
        <w:widowControl/>
        <w:pBdr>
          <w:top w:val="nil"/>
          <w:left w:val="nil"/>
          <w:bottom w:val="nil"/>
          <w:right w:val="nil"/>
          <w:between w:val="nil"/>
        </w:pBdr>
        <w:spacing w:before="280" w:after="280"/>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 三 條  本辦法所稱財產〈應列入財產帳〉者，係指土地、建物與附屬設備、圖書等，及購置金額在一萬元〈含〉以上且使用年限在兩年〈含〉以上之機械、儀器、交通、運輸與雜項等設備；</w:t>
      </w:r>
      <w:proofErr w:type="gramStart"/>
      <w:r w:rsidRPr="00B509BB">
        <w:rPr>
          <w:rFonts w:ascii="標楷體" w:eastAsia="標楷體" w:hAnsi="標楷體" w:cs="BiauKai"/>
          <w:color w:val="000000"/>
          <w:sz w:val="27"/>
          <w:szCs w:val="27"/>
        </w:rPr>
        <w:t>亦指僅列</w:t>
      </w:r>
      <w:proofErr w:type="gramEnd"/>
      <w:r w:rsidRPr="00B509BB">
        <w:rPr>
          <w:rFonts w:ascii="標楷體" w:eastAsia="標楷體" w:hAnsi="標楷體" w:cs="BiauKai"/>
          <w:color w:val="000000"/>
          <w:sz w:val="27"/>
          <w:szCs w:val="27"/>
        </w:rPr>
        <w:t xml:space="preserve">管之設備或物品，其購置金額在一萬元〈不含〉以下且使用年限可達兩年〈含〉以上者。 </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第 四 條   本辦法所稱財產管理範圍如下：</w:t>
      </w:r>
      <w:r w:rsidRPr="00B509BB">
        <w:rPr>
          <w:rFonts w:ascii="標楷體" w:eastAsia="標楷體" w:hAnsi="標楷體" w:cs="BiauKai"/>
          <w:color w:val="000000"/>
          <w:sz w:val="27"/>
          <w:szCs w:val="27"/>
        </w:rPr>
        <w:br/>
        <w:t>           一、財產之分類編號及登記。</w:t>
      </w:r>
      <w:r w:rsidRPr="00B509BB">
        <w:rPr>
          <w:rFonts w:ascii="標楷體" w:eastAsia="標楷體" w:hAnsi="標楷體" w:cs="BiauKai"/>
          <w:color w:val="000000"/>
          <w:sz w:val="27"/>
          <w:szCs w:val="27"/>
        </w:rPr>
        <w:br/>
        <w:t>           二、財產之保管。</w:t>
      </w:r>
      <w:r w:rsidRPr="00B509BB">
        <w:rPr>
          <w:rFonts w:ascii="標楷體" w:eastAsia="標楷體" w:hAnsi="標楷體" w:cs="BiauKai"/>
          <w:color w:val="000000"/>
          <w:sz w:val="27"/>
          <w:szCs w:val="27"/>
        </w:rPr>
        <w:br/>
        <w:t>           三、財產之增加。</w:t>
      </w:r>
      <w:r w:rsidRPr="00B509BB">
        <w:rPr>
          <w:rFonts w:ascii="標楷體" w:eastAsia="標楷體" w:hAnsi="標楷體" w:cs="BiauKai"/>
          <w:color w:val="000000"/>
          <w:sz w:val="27"/>
          <w:szCs w:val="27"/>
        </w:rPr>
        <w:br/>
        <w:t>           四、財產之養護。</w:t>
      </w:r>
      <w:r w:rsidRPr="00B509BB">
        <w:rPr>
          <w:rFonts w:ascii="標楷體" w:eastAsia="標楷體" w:hAnsi="標楷體" w:cs="BiauKai"/>
          <w:color w:val="000000"/>
          <w:sz w:val="27"/>
          <w:szCs w:val="27"/>
        </w:rPr>
        <w:br/>
        <w:t>           五、財產之移轉。</w:t>
      </w:r>
      <w:r w:rsidRPr="00B509BB">
        <w:rPr>
          <w:rFonts w:ascii="標楷體" w:eastAsia="標楷體" w:hAnsi="標楷體" w:cs="BiauKai"/>
          <w:color w:val="000000"/>
          <w:sz w:val="27"/>
          <w:szCs w:val="27"/>
        </w:rPr>
        <w:br/>
        <w:t>           六、財產之減損及廢品處理。</w:t>
      </w:r>
      <w:r w:rsidRPr="00B509BB">
        <w:rPr>
          <w:rFonts w:ascii="標楷體" w:eastAsia="標楷體" w:hAnsi="標楷體" w:cs="BiauKai"/>
          <w:color w:val="000000"/>
          <w:sz w:val="27"/>
          <w:szCs w:val="27"/>
        </w:rPr>
        <w:br/>
        <w:t>           七、財產管理查核。</w:t>
      </w:r>
      <w:r w:rsidRPr="00B509BB">
        <w:rPr>
          <w:rFonts w:ascii="標楷體" w:eastAsia="標楷體" w:hAnsi="標楷體" w:cs="BiauKai"/>
          <w:color w:val="000000"/>
          <w:sz w:val="27"/>
          <w:szCs w:val="27"/>
        </w:rPr>
        <w:br/>
        <w:t>           八、財產遺失、失竊及毀損。</w:t>
      </w:r>
      <w:r w:rsidRPr="00B509BB">
        <w:rPr>
          <w:rFonts w:ascii="標楷體" w:eastAsia="標楷體" w:hAnsi="標楷體" w:cs="BiauKai"/>
          <w:color w:val="000000"/>
          <w:sz w:val="27"/>
          <w:szCs w:val="27"/>
        </w:rPr>
        <w:br/>
        <w:t>           九、財產盤點。</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第 五 條   本辦法所稱之各單位，係指各處、室、組、科等行政及教學單位。 </w:t>
      </w:r>
    </w:p>
    <w:p w:rsidR="00804511" w:rsidRPr="00B509BB" w:rsidRDefault="00804511" w:rsidP="00804511">
      <w:pPr>
        <w:widowControl/>
        <w:pBdr>
          <w:top w:val="nil"/>
          <w:left w:val="nil"/>
          <w:bottom w:val="nil"/>
          <w:right w:val="nil"/>
          <w:between w:val="nil"/>
        </w:pBdr>
        <w:spacing w:before="280"/>
        <w:rPr>
          <w:rFonts w:ascii="標楷體" w:eastAsia="標楷體" w:hAnsi="標楷體" w:cs="BiauKai"/>
          <w:color w:val="000000"/>
          <w:sz w:val="27"/>
          <w:szCs w:val="27"/>
        </w:rPr>
      </w:pPr>
      <w:r w:rsidRPr="00B509BB">
        <w:rPr>
          <w:rFonts w:ascii="標楷體" w:eastAsia="標楷體" w:hAnsi="標楷體" w:cs="BiauKai"/>
          <w:color w:val="000000"/>
          <w:sz w:val="27"/>
          <w:szCs w:val="27"/>
        </w:rPr>
        <w:t>第 六 條   財產管理權責劃分：</w:t>
      </w:r>
    </w:p>
    <w:p w:rsidR="00804511" w:rsidRPr="00B509BB" w:rsidRDefault="00804511" w:rsidP="00804511">
      <w:pPr>
        <w:widowControl/>
        <w:pBdr>
          <w:top w:val="nil"/>
          <w:left w:val="nil"/>
          <w:bottom w:val="nil"/>
          <w:right w:val="nil"/>
          <w:between w:val="nil"/>
        </w:pBdr>
        <w:spacing w:after="120"/>
        <w:ind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一、總務處：為全校財產管理之主體，並負有定期或不定期盤點、查核之責。</w:t>
      </w:r>
    </w:p>
    <w:p w:rsidR="00804511" w:rsidRPr="00B509BB" w:rsidRDefault="00804511" w:rsidP="00804511">
      <w:pPr>
        <w:widowControl/>
        <w:pBdr>
          <w:top w:val="nil"/>
          <w:left w:val="nil"/>
          <w:bottom w:val="nil"/>
          <w:right w:val="nil"/>
          <w:between w:val="nil"/>
        </w:pBdr>
        <w:spacing w:after="120"/>
        <w:ind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二、其他各單位亦應負有財產保管</w:t>
      </w:r>
      <w:proofErr w:type="gramStart"/>
      <w:r w:rsidRPr="00B509BB">
        <w:rPr>
          <w:rFonts w:ascii="標楷體" w:eastAsia="標楷體" w:hAnsi="標楷體" w:cs="BiauKai"/>
          <w:color w:val="000000"/>
          <w:sz w:val="27"/>
          <w:szCs w:val="27"/>
        </w:rPr>
        <w:t>及帳數相符</w:t>
      </w:r>
      <w:proofErr w:type="gramEnd"/>
      <w:r w:rsidRPr="00B509BB">
        <w:rPr>
          <w:rFonts w:ascii="標楷體" w:eastAsia="標楷體" w:hAnsi="標楷體" w:cs="BiauKai"/>
          <w:color w:val="000000"/>
          <w:sz w:val="27"/>
          <w:szCs w:val="27"/>
        </w:rPr>
        <w:t xml:space="preserve">之責。 </w:t>
      </w:r>
    </w:p>
    <w:p w:rsidR="00804511" w:rsidRPr="00B509BB" w:rsidRDefault="00804511" w:rsidP="00804511">
      <w:pPr>
        <w:widowControl/>
        <w:pBdr>
          <w:top w:val="nil"/>
          <w:left w:val="nil"/>
          <w:bottom w:val="nil"/>
          <w:right w:val="nil"/>
          <w:between w:val="nil"/>
        </w:pBdr>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第 七 條   一般原則</w:t>
      </w:r>
    </w:p>
    <w:p w:rsidR="00804511" w:rsidRPr="00B509BB" w:rsidRDefault="00804511" w:rsidP="00804511">
      <w:pPr>
        <w:pStyle w:val="a3"/>
        <w:widowControl/>
        <w:numPr>
          <w:ilvl w:val="0"/>
          <w:numId w:val="1"/>
        </w:numPr>
        <w:pBdr>
          <w:top w:val="nil"/>
          <w:left w:val="nil"/>
          <w:bottom w:val="nil"/>
          <w:right w:val="nil"/>
          <w:between w:val="nil"/>
        </w:pBdr>
        <w:ind w:leftChars="0"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為落實財產管理，每單位應指派財產帳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管理人一名，其職責如下：</w:t>
      </w:r>
    </w:p>
    <w:p w:rsidR="00804511" w:rsidRPr="00B509BB" w:rsidRDefault="00804511" w:rsidP="00804511">
      <w:pPr>
        <w:widowControl/>
        <w:pBdr>
          <w:top w:val="nil"/>
          <w:left w:val="nil"/>
          <w:bottom w:val="nil"/>
          <w:right w:val="nil"/>
          <w:between w:val="nil"/>
        </w:pBdr>
        <w:ind w:leftChars="500" w:left="1200"/>
        <w:rPr>
          <w:rFonts w:ascii="標楷體" w:eastAsia="標楷體" w:hAnsi="標楷體" w:cs="BiauKai"/>
          <w:color w:val="000000"/>
          <w:sz w:val="27"/>
          <w:szCs w:val="27"/>
        </w:rPr>
      </w:pPr>
      <w:r w:rsidRPr="00B509BB">
        <w:rPr>
          <w:rFonts w:ascii="標楷體" w:eastAsia="標楷體" w:hAnsi="標楷體" w:cs="BiauKai"/>
          <w:color w:val="000000"/>
          <w:sz w:val="27"/>
          <w:szCs w:val="27"/>
        </w:rPr>
        <w:t>〈一〉協助核對總務處財產管理人送各單位之財產清單、報表及財產標籤。</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〈二〉分送財產標籤，請財產保管人粘貼於財產上。</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〈三〉將財產清單及報表歸檔，以方便財產管理人隨時查詢。</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〈四〉財產之異動管理。</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〈五〉配合每年盤點時之協調聯繫工作。</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〈六〉財產管理人離職時，協助財產移交工作。</w:t>
      </w:r>
    </w:p>
    <w:p w:rsidR="00804511" w:rsidRPr="00B509BB" w:rsidRDefault="00804511" w:rsidP="00804511">
      <w:pPr>
        <w:widowControl/>
        <w:pBdr>
          <w:top w:val="nil"/>
          <w:left w:val="nil"/>
          <w:bottom w:val="nil"/>
          <w:right w:val="nil"/>
          <w:between w:val="nil"/>
        </w:pBdr>
        <w:ind w:leftChars="500" w:left="1202"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〈七〉其他協調聯繫事項。</w:t>
      </w:r>
    </w:p>
    <w:p w:rsidR="00804511" w:rsidRPr="00B509BB" w:rsidRDefault="00804511" w:rsidP="00804511">
      <w:pPr>
        <w:pStyle w:val="a3"/>
        <w:widowControl/>
        <w:numPr>
          <w:ilvl w:val="0"/>
          <w:numId w:val="1"/>
        </w:numPr>
        <w:pBdr>
          <w:top w:val="nil"/>
          <w:left w:val="nil"/>
          <w:bottom w:val="nil"/>
          <w:right w:val="nil"/>
          <w:between w:val="nil"/>
        </w:pBdr>
        <w:ind w:leftChars="0"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財產驗收單之使用單位欄與財產保管人須為同一單位。</w:t>
      </w:r>
    </w:p>
    <w:p w:rsidR="00804511" w:rsidRPr="00B509BB" w:rsidRDefault="00804511" w:rsidP="00804511">
      <w:pPr>
        <w:pStyle w:val="a3"/>
        <w:widowControl/>
        <w:numPr>
          <w:ilvl w:val="0"/>
          <w:numId w:val="1"/>
        </w:numPr>
        <w:pBdr>
          <w:top w:val="nil"/>
          <w:left w:val="nil"/>
          <w:bottom w:val="nil"/>
          <w:right w:val="nil"/>
          <w:between w:val="nil"/>
        </w:pBdr>
        <w:ind w:leftChars="0"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借用財物須善盡管理責任，倘如發生遺失毀損情形，經查證係「未盡善良管理應有之注意」，則應依規定負賠償之責。</w:t>
      </w:r>
    </w:p>
    <w:p w:rsidR="00804511" w:rsidRPr="00B509BB" w:rsidRDefault="00804511" w:rsidP="00804511">
      <w:pPr>
        <w:pStyle w:val="a3"/>
        <w:widowControl/>
        <w:numPr>
          <w:ilvl w:val="0"/>
          <w:numId w:val="1"/>
        </w:numPr>
        <w:pBdr>
          <w:top w:val="nil"/>
          <w:left w:val="nil"/>
          <w:bottom w:val="nil"/>
          <w:right w:val="nil"/>
          <w:between w:val="nil"/>
        </w:pBdr>
        <w:ind w:leftChars="0"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lastRenderedPageBreak/>
        <w:t>財產如有異動，須知會單位「財產保管人」彙整資料，並至總務處財產管理人辦理財產異動手續。</w:t>
      </w:r>
    </w:p>
    <w:p w:rsidR="00804511" w:rsidRPr="00B509BB" w:rsidRDefault="00804511" w:rsidP="00804511">
      <w:pPr>
        <w:pStyle w:val="a3"/>
        <w:widowControl/>
        <w:numPr>
          <w:ilvl w:val="0"/>
          <w:numId w:val="1"/>
        </w:numPr>
        <w:pBdr>
          <w:top w:val="nil"/>
          <w:left w:val="nil"/>
          <w:bottom w:val="nil"/>
          <w:right w:val="nil"/>
          <w:between w:val="nil"/>
        </w:pBdr>
        <w:ind w:leftChars="0" w:left="1701" w:hanging="567"/>
        <w:rPr>
          <w:rFonts w:ascii="標楷體" w:eastAsia="標楷體" w:hAnsi="標楷體" w:cs="BiauKai"/>
          <w:color w:val="000000"/>
          <w:sz w:val="27"/>
          <w:szCs w:val="27"/>
        </w:rPr>
      </w:pPr>
      <w:r w:rsidRPr="00B509BB">
        <w:rPr>
          <w:rFonts w:ascii="標楷體" w:eastAsia="標楷體" w:hAnsi="標楷體" w:cs="BiauKai"/>
          <w:color w:val="000000"/>
          <w:sz w:val="27"/>
          <w:szCs w:val="27"/>
        </w:rPr>
        <w:t>財產保管人離職時，須將所保管之財產移交單位「財產帳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管理人」，並備妥財產移交清冊乙份，至總務處財產管理人會簽離職手續。</w:t>
      </w:r>
    </w:p>
    <w:p w:rsidR="00804511" w:rsidRPr="00B509BB" w:rsidRDefault="00804511" w:rsidP="00804511">
      <w:pPr>
        <w:widowControl/>
        <w:pBdr>
          <w:top w:val="nil"/>
          <w:left w:val="nil"/>
          <w:bottom w:val="nil"/>
          <w:right w:val="nil"/>
          <w:between w:val="nil"/>
        </w:pBdr>
        <w:spacing w:before="120"/>
        <w:ind w:left="6" w:hanging="6"/>
        <w:rPr>
          <w:rFonts w:ascii="標楷體" w:eastAsia="標楷體" w:hAnsi="標楷體" w:cs="BiauKai"/>
          <w:color w:val="000000"/>
          <w:sz w:val="27"/>
          <w:szCs w:val="27"/>
        </w:rPr>
      </w:pPr>
      <w:r w:rsidRPr="00B509BB">
        <w:rPr>
          <w:rFonts w:ascii="標楷體" w:eastAsia="標楷體" w:hAnsi="標楷體" w:cs="BiauKai"/>
          <w:b/>
          <w:color w:val="000000"/>
          <w:sz w:val="27"/>
          <w:szCs w:val="27"/>
        </w:rPr>
        <w:t>第二章     財產之分類編號及登記</w:t>
      </w:r>
    </w:p>
    <w:p w:rsidR="00804511" w:rsidRPr="00B509BB" w:rsidRDefault="00804511" w:rsidP="00804511">
      <w:pPr>
        <w:widowControl/>
        <w:pBdr>
          <w:top w:val="nil"/>
          <w:left w:val="nil"/>
          <w:bottom w:val="nil"/>
          <w:right w:val="nil"/>
          <w:between w:val="nil"/>
        </w:pBdr>
        <w:spacing w:before="120"/>
        <w:ind w:left="6" w:hanging="6"/>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第一節   分類編號 </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 八 條  各單位購置之財產，經完成取得手續後由總務處財產管理人分類編號並登記列帳。財產分類如下：</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一、土地。</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二、建物及附屬設備。</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三、機械儀器及設備。</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四、圖書及博物。</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五、交通運輸設備〈含陸運、水運、電信等設備〉。</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六、雜項設備〈非上列設備者均屬之〉。</w:t>
      </w:r>
    </w:p>
    <w:p w:rsidR="00804511" w:rsidRPr="00B509BB" w:rsidRDefault="00804511" w:rsidP="00804511">
      <w:pPr>
        <w:widowControl/>
        <w:pBdr>
          <w:top w:val="nil"/>
          <w:left w:val="nil"/>
          <w:bottom w:val="nil"/>
          <w:right w:val="nil"/>
          <w:between w:val="nil"/>
        </w:pBdr>
        <w:spacing w:beforeLines="50" w:before="180"/>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 九 條  各類財產之編號，依行政院頒行之「財物標準分類」中所採四級分類、第五級編號制，其分類科目之名稱為類、項、目、節，第五級為各該財產名稱之編號。各類財產</w:t>
      </w:r>
      <w:proofErr w:type="gramStart"/>
      <w:r w:rsidRPr="00B509BB">
        <w:rPr>
          <w:rFonts w:ascii="標楷體" w:eastAsia="標楷體" w:hAnsi="標楷體" w:cs="BiauKai"/>
          <w:color w:val="000000"/>
          <w:sz w:val="27"/>
          <w:szCs w:val="27"/>
        </w:rPr>
        <w:t>名稱均以行政院</w:t>
      </w:r>
      <w:proofErr w:type="gramEnd"/>
      <w:r w:rsidRPr="00B509BB">
        <w:rPr>
          <w:rFonts w:ascii="標楷體" w:eastAsia="標楷體" w:hAnsi="標楷體" w:cs="BiauKai"/>
          <w:color w:val="000000"/>
          <w:sz w:val="27"/>
          <w:szCs w:val="27"/>
        </w:rPr>
        <w:t>頒行之「財物標準分類」中所載名稱為</w:t>
      </w:r>
      <w:proofErr w:type="gramStart"/>
      <w:r w:rsidRPr="00B509BB">
        <w:rPr>
          <w:rFonts w:ascii="標楷體" w:eastAsia="標楷體" w:hAnsi="標楷體" w:cs="BiauKai"/>
          <w:color w:val="000000"/>
          <w:sz w:val="27"/>
          <w:szCs w:val="27"/>
        </w:rPr>
        <w:t>準</w:t>
      </w:r>
      <w:proofErr w:type="gramEnd"/>
      <w:r w:rsidRPr="00B509BB">
        <w:rPr>
          <w:rFonts w:ascii="標楷體" w:eastAsia="標楷體" w:hAnsi="標楷體" w:cs="BiauKai"/>
          <w:color w:val="000000"/>
          <w:sz w:val="27"/>
          <w:szCs w:val="27"/>
        </w:rPr>
        <w:t xml:space="preserve">。 </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第二節     財產登記 </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第 十 條   財產登記應依下列憑證為之：</w:t>
      </w:r>
    </w:p>
    <w:p w:rsidR="00804511" w:rsidRPr="00B509BB" w:rsidRDefault="00804511" w:rsidP="00804511">
      <w:pPr>
        <w:widowControl/>
        <w:pBdr>
          <w:top w:val="nil"/>
          <w:left w:val="nil"/>
          <w:bottom w:val="nil"/>
          <w:right w:val="nil"/>
          <w:between w:val="nil"/>
        </w:pBdr>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一、財產增加之登記：請購單、購置財物驗收報告單、財產增加單、受贈財產增加單。</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二、財產異動之登記：財產移轉單。</w:t>
      </w:r>
    </w:p>
    <w:p w:rsidR="00804511" w:rsidRPr="00B509BB" w:rsidRDefault="00804511" w:rsidP="00804511">
      <w:pPr>
        <w:widowControl/>
        <w:pBdr>
          <w:top w:val="nil"/>
          <w:left w:val="nil"/>
          <w:bottom w:val="nil"/>
          <w:right w:val="nil"/>
          <w:between w:val="nil"/>
        </w:pBdr>
        <w:ind w:leftChars="500" w:left="25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三、財產減少之登記：財產報廢申請單。(附原簽案)</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第十一條  財產經分類編號登記後，均應黏貼「高雄縣私立旗美</w:t>
      </w:r>
      <w:r w:rsidRPr="00B509BB">
        <w:rPr>
          <w:rFonts w:ascii="標楷體" w:eastAsia="標楷體" w:hAnsi="標楷體" w:cs="BiauKai" w:hint="eastAsia"/>
          <w:color w:val="000000"/>
          <w:sz w:val="27"/>
          <w:szCs w:val="27"/>
        </w:rPr>
        <w:t>高級</w:t>
      </w:r>
      <w:r w:rsidRPr="00B509BB">
        <w:rPr>
          <w:rFonts w:ascii="標楷體" w:eastAsia="標楷體" w:hAnsi="標楷體" w:cs="BiauKai"/>
          <w:color w:val="000000"/>
          <w:sz w:val="27"/>
          <w:szCs w:val="27"/>
        </w:rPr>
        <w:t xml:space="preserve">商工職業學校財產」標籤標示之；標籤製作由總務處財產管理人統一辦理，如財產無法黏貼標籤時，各該單位應妥為保存備用，或通知財產管理人處理。 </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第十二條   黏貼財產標籤應以醒目，易於查核及盤點為原則。 </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 xml:space="preserve">第三章     財產保管 </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t>第十三條   總務處財產管理人為本校財產管理業務統籌單位，職責如下：</w:t>
      </w:r>
      <w:r w:rsidRPr="00B509BB">
        <w:rPr>
          <w:rFonts w:ascii="標楷體" w:eastAsia="標楷體" w:hAnsi="標楷體" w:cs="BiauKai"/>
          <w:color w:val="000000"/>
          <w:sz w:val="27"/>
          <w:szCs w:val="27"/>
        </w:rPr>
        <w:br/>
        <w:t>           一、財產之編號及登記。</w:t>
      </w:r>
      <w:r w:rsidRPr="00B509BB">
        <w:rPr>
          <w:rFonts w:ascii="標楷體" w:eastAsia="標楷體" w:hAnsi="標楷體" w:cs="BiauKai"/>
          <w:color w:val="000000"/>
          <w:sz w:val="27"/>
          <w:szCs w:val="27"/>
        </w:rPr>
        <w:br/>
        <w:t>           二、財產數量之驗收。</w:t>
      </w:r>
      <w:r w:rsidRPr="00B509BB">
        <w:rPr>
          <w:rFonts w:ascii="標楷體" w:eastAsia="標楷體" w:hAnsi="標楷體" w:cs="BiauKai"/>
          <w:color w:val="000000"/>
          <w:sz w:val="27"/>
          <w:szCs w:val="27"/>
        </w:rPr>
        <w:br/>
        <w:t>           三、財產增減、異動之登記作業。</w:t>
      </w:r>
      <w:r w:rsidRPr="00B509BB">
        <w:rPr>
          <w:rFonts w:ascii="標楷體" w:eastAsia="標楷體" w:hAnsi="標楷體" w:cs="BiauKai"/>
          <w:color w:val="000000"/>
          <w:sz w:val="27"/>
          <w:szCs w:val="27"/>
        </w:rPr>
        <w:br/>
        <w:t>           四、動產及土地、建築物相關資料之申請及保管。</w:t>
      </w:r>
      <w:r w:rsidRPr="00B509BB">
        <w:rPr>
          <w:rFonts w:ascii="標楷體" w:eastAsia="標楷體" w:hAnsi="標楷體" w:cs="BiauKai"/>
          <w:color w:val="000000"/>
          <w:sz w:val="27"/>
          <w:szCs w:val="27"/>
        </w:rPr>
        <w:br/>
        <w:t>           五、核實各單位財產管理、使用狀況。</w:t>
      </w:r>
      <w:r w:rsidRPr="00B509BB">
        <w:rPr>
          <w:rFonts w:ascii="標楷體" w:eastAsia="標楷體" w:hAnsi="標楷體" w:cs="BiauKai"/>
          <w:color w:val="000000"/>
          <w:sz w:val="27"/>
          <w:szCs w:val="27"/>
        </w:rPr>
        <w:br/>
        <w:t>           六、各單位財產管理查核。</w:t>
      </w:r>
      <w:r w:rsidRPr="00B509BB">
        <w:rPr>
          <w:rFonts w:ascii="標楷體" w:eastAsia="標楷體" w:hAnsi="標楷體" w:cs="BiauKai"/>
          <w:color w:val="000000"/>
          <w:sz w:val="27"/>
          <w:szCs w:val="27"/>
        </w:rPr>
        <w:br/>
        <w:t>           七、財產統計報表之編製。</w:t>
      </w:r>
      <w:r w:rsidRPr="00B509BB">
        <w:rPr>
          <w:rFonts w:ascii="標楷體" w:eastAsia="標楷體" w:hAnsi="標楷體" w:cs="BiauKai"/>
          <w:color w:val="000000"/>
          <w:sz w:val="27"/>
          <w:szCs w:val="27"/>
        </w:rPr>
        <w:br/>
        <w:t>           八、廢品之標售及變賣處理。          </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r w:rsidRPr="00B509BB">
        <w:rPr>
          <w:rFonts w:ascii="標楷體" w:eastAsia="標楷體" w:hAnsi="標楷體" w:cs="BiauKai"/>
          <w:color w:val="000000"/>
          <w:sz w:val="27"/>
          <w:szCs w:val="27"/>
        </w:rPr>
        <w:lastRenderedPageBreak/>
        <w:t>第十四條   各單位人員對財產保管之權責及規定：</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 一、使用單位或經管單位主管為各單位當然之「財產管理保管人」，應確實瞭解並注意各該單位財產使用及管理狀況，負適時糾正之責；且應指派該單位編制內專職人員為各該單位財產帳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保管人，並知會總務處財產管理人。</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 xml:space="preserve"> 二、「財產帳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保管人」應經常保持財產物、帳相符，確實掌握各該單位財產流向、使用狀況；</w:t>
      </w:r>
      <w:proofErr w:type="gramStart"/>
      <w:r w:rsidRPr="00B509BB">
        <w:rPr>
          <w:rFonts w:ascii="標楷體" w:eastAsia="標楷體" w:hAnsi="標楷體" w:cs="BiauKai"/>
          <w:color w:val="000000"/>
          <w:sz w:val="27"/>
          <w:szCs w:val="27"/>
        </w:rPr>
        <w:t>若遇調</w:t>
      </w:r>
      <w:proofErr w:type="gramEnd"/>
      <w:r w:rsidRPr="00B509BB">
        <w:rPr>
          <w:rFonts w:ascii="標楷體" w:eastAsia="標楷體" w:hAnsi="標楷體" w:cs="BiauKai"/>
          <w:color w:val="000000"/>
          <w:sz w:val="27"/>
          <w:szCs w:val="27"/>
        </w:rPr>
        <w:t>、離職時，應由各該單位主管另派專人接管，並填具「財產交接證明單」送總務處財產管理人辦理變更「財產帳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保管人」登記後，原財產帳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保管人責任方得解除。</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三、「財產保管人」應對所使用之財產負有驗收、保管、養護、報廢之責；</w:t>
      </w:r>
      <w:proofErr w:type="gramStart"/>
      <w:r w:rsidRPr="00B509BB">
        <w:rPr>
          <w:rFonts w:ascii="標楷體" w:eastAsia="標楷體" w:hAnsi="標楷體" w:cs="BiauKai"/>
          <w:color w:val="000000"/>
          <w:sz w:val="27"/>
          <w:szCs w:val="27"/>
        </w:rPr>
        <w:t>若遇調</w:t>
      </w:r>
      <w:proofErr w:type="gramEnd"/>
      <w:r w:rsidRPr="00B509BB">
        <w:rPr>
          <w:rFonts w:ascii="標楷體" w:eastAsia="標楷體" w:hAnsi="標楷體" w:cs="BiauKai"/>
          <w:color w:val="000000"/>
          <w:sz w:val="27"/>
          <w:szCs w:val="27"/>
        </w:rPr>
        <w:t>、離職時，應立即辦理財產交接，並取得各該單位財產帳</w:t>
      </w:r>
      <w:proofErr w:type="gramStart"/>
      <w:r w:rsidRPr="00B509BB">
        <w:rPr>
          <w:rFonts w:ascii="標楷體" w:eastAsia="標楷體" w:hAnsi="標楷體" w:cs="BiauKai"/>
          <w:color w:val="000000"/>
          <w:sz w:val="27"/>
          <w:szCs w:val="27"/>
        </w:rPr>
        <w:t>務</w:t>
      </w:r>
      <w:proofErr w:type="gramEnd"/>
      <w:r w:rsidRPr="00B509BB">
        <w:rPr>
          <w:rFonts w:ascii="標楷體" w:eastAsia="標楷體" w:hAnsi="標楷體" w:cs="BiauKai"/>
          <w:color w:val="000000"/>
          <w:sz w:val="27"/>
          <w:szCs w:val="27"/>
        </w:rPr>
        <w:t>保管人開具之「財產交接證明單」以憑辦理承接新職或離職手續。</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第十五條  使用單位或經管單位主管調、離職前，單位財產應辦理清點無誤並於移交清冊中適當表示後，分存總務處財產管理人乙份備查。</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第四章     財產增加</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第十七條  財產購妥付款申請前，將簽案送總務處財產管理人辦理財產登記後一併請款；填寫「購置財物驗收報告單」應注意要點如下：</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hint="eastAsia"/>
          <w:color w:val="000000"/>
          <w:sz w:val="27"/>
          <w:szCs w:val="27"/>
        </w:rPr>
        <w:t>一</w:t>
      </w:r>
      <w:r w:rsidRPr="00B509BB">
        <w:rPr>
          <w:rFonts w:ascii="標楷體" w:eastAsia="標楷體" w:hAnsi="標楷體" w:cs="BiauKai"/>
          <w:color w:val="000000"/>
          <w:sz w:val="27"/>
          <w:szCs w:val="27"/>
        </w:rPr>
        <w:t>、各單位合併採購時，應依放置地點或使用單位之不同分單填寫。</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hint="eastAsia"/>
          <w:color w:val="000000"/>
          <w:sz w:val="27"/>
          <w:szCs w:val="27"/>
        </w:rPr>
        <w:t>二</w:t>
      </w:r>
      <w:r w:rsidRPr="00B509BB">
        <w:rPr>
          <w:rFonts w:ascii="標楷體" w:eastAsia="標楷體" w:hAnsi="標楷體" w:cs="BiauKai"/>
          <w:color w:val="000000"/>
          <w:sz w:val="27"/>
          <w:szCs w:val="27"/>
        </w:rPr>
        <w:t>、應</w:t>
      </w:r>
      <w:proofErr w:type="gramStart"/>
      <w:r w:rsidRPr="00B509BB">
        <w:rPr>
          <w:rFonts w:ascii="標楷體" w:eastAsia="標楷體" w:hAnsi="標楷體" w:cs="BiauKai"/>
          <w:color w:val="000000"/>
          <w:sz w:val="27"/>
          <w:szCs w:val="27"/>
        </w:rPr>
        <w:t>儘</w:t>
      </w:r>
      <w:proofErr w:type="gramEnd"/>
      <w:r w:rsidRPr="00B509BB">
        <w:rPr>
          <w:rFonts w:ascii="標楷體" w:eastAsia="標楷體" w:hAnsi="標楷體" w:cs="BiauKai"/>
          <w:color w:val="000000"/>
          <w:sz w:val="27"/>
          <w:szCs w:val="27"/>
        </w:rPr>
        <w:t>可能以中文書寫財產名稱；驗收內容應載明廠牌、型號、規格、材質；財產若是經多項產品組合方能使用，將以整組、整套</w:t>
      </w:r>
      <w:proofErr w:type="gramStart"/>
      <w:r w:rsidRPr="00B509BB">
        <w:rPr>
          <w:rFonts w:ascii="標楷體" w:eastAsia="標楷體" w:hAnsi="標楷體" w:cs="BiauKai"/>
          <w:color w:val="000000"/>
          <w:sz w:val="27"/>
          <w:szCs w:val="27"/>
        </w:rPr>
        <w:t>做為列產單位</w:t>
      </w:r>
      <w:proofErr w:type="gramEnd"/>
      <w:r w:rsidRPr="00B509BB">
        <w:rPr>
          <w:rFonts w:ascii="標楷體" w:eastAsia="標楷體" w:hAnsi="標楷體" w:cs="BiauKai"/>
          <w:color w:val="000000"/>
          <w:sz w:val="27"/>
          <w:szCs w:val="27"/>
        </w:rPr>
        <w:t>，應</w:t>
      </w:r>
      <w:proofErr w:type="gramStart"/>
      <w:r w:rsidRPr="00B509BB">
        <w:rPr>
          <w:rFonts w:ascii="標楷體" w:eastAsia="標楷體" w:hAnsi="標楷體" w:cs="BiauKai"/>
          <w:color w:val="000000"/>
          <w:sz w:val="27"/>
          <w:szCs w:val="27"/>
        </w:rPr>
        <w:t>詳填該組合</w:t>
      </w:r>
      <w:proofErr w:type="gramEnd"/>
      <w:r w:rsidRPr="00B509BB">
        <w:rPr>
          <w:rFonts w:ascii="標楷體" w:eastAsia="標楷體" w:hAnsi="標楷體" w:cs="BiauKai"/>
          <w:color w:val="000000"/>
          <w:sz w:val="27"/>
          <w:szCs w:val="27"/>
        </w:rPr>
        <w:t>所含財產內容。</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hint="eastAsia"/>
          <w:color w:val="000000"/>
          <w:sz w:val="27"/>
          <w:szCs w:val="27"/>
        </w:rPr>
        <w:t>三</w:t>
      </w:r>
      <w:r w:rsidRPr="00B509BB">
        <w:rPr>
          <w:rFonts w:ascii="標楷體" w:eastAsia="標楷體" w:hAnsi="標楷體" w:cs="BiauKai"/>
          <w:color w:val="000000"/>
          <w:sz w:val="27"/>
          <w:szCs w:val="27"/>
        </w:rPr>
        <w:t>、一次採購多項之不同財產，應逐項詳細填寫，不得以乙批</w:t>
      </w:r>
      <w:proofErr w:type="gramStart"/>
      <w:r w:rsidRPr="00B509BB">
        <w:rPr>
          <w:rFonts w:ascii="標楷體" w:eastAsia="標楷體" w:hAnsi="標楷體" w:cs="BiauKai"/>
          <w:color w:val="000000"/>
          <w:sz w:val="27"/>
          <w:szCs w:val="27"/>
        </w:rPr>
        <w:t>做為列產單位</w:t>
      </w:r>
      <w:proofErr w:type="gramEnd"/>
      <w:r w:rsidRPr="00B509BB">
        <w:rPr>
          <w:rFonts w:ascii="標楷體" w:eastAsia="標楷體" w:hAnsi="標楷體" w:cs="BiauKai"/>
          <w:color w:val="000000"/>
          <w:sz w:val="27"/>
          <w:szCs w:val="27"/>
        </w:rPr>
        <w:t>。</w:t>
      </w:r>
    </w:p>
    <w:p w:rsidR="00804511" w:rsidRPr="00B509BB" w:rsidRDefault="00804511" w:rsidP="00804511">
      <w:pPr>
        <w:widowControl/>
        <w:pBdr>
          <w:top w:val="nil"/>
          <w:left w:val="nil"/>
          <w:bottom w:val="nil"/>
          <w:right w:val="nil"/>
          <w:between w:val="nil"/>
        </w:pBdr>
        <w:spacing w:before="280" w:after="2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hint="eastAsia"/>
          <w:color w:val="000000"/>
          <w:sz w:val="27"/>
          <w:szCs w:val="27"/>
        </w:rPr>
        <w:t>四</w:t>
      </w:r>
      <w:r w:rsidRPr="00B509BB">
        <w:rPr>
          <w:rFonts w:ascii="標楷體" w:eastAsia="標楷體" w:hAnsi="標楷體" w:cs="BiauKai"/>
          <w:color w:val="000000"/>
          <w:sz w:val="27"/>
          <w:szCs w:val="27"/>
        </w:rPr>
        <w:t>、單價、總價</w:t>
      </w:r>
      <w:proofErr w:type="gramStart"/>
      <w:r w:rsidRPr="00B509BB">
        <w:rPr>
          <w:rFonts w:ascii="標楷體" w:eastAsia="標楷體" w:hAnsi="標楷體" w:cs="BiauKai"/>
          <w:color w:val="000000"/>
          <w:sz w:val="27"/>
          <w:szCs w:val="27"/>
        </w:rPr>
        <w:t>請取至整</w:t>
      </w:r>
      <w:proofErr w:type="gramEnd"/>
      <w:r w:rsidRPr="00B509BB">
        <w:rPr>
          <w:rFonts w:ascii="標楷體" w:eastAsia="標楷體" w:hAnsi="標楷體" w:cs="BiauKai"/>
          <w:color w:val="000000"/>
          <w:sz w:val="27"/>
          <w:szCs w:val="27"/>
        </w:rPr>
        <w:t>位數，並以稅後新台幣金額為計價依據。</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第十八條  購置財產未經總務處財產管理人辦理財產登記作業完成簽章確認前，不得向會計部門申請付款。</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第十九條  財產非因學校經費購置〈如捐贈或附贈〉取得時，應填具「受贈財產增加單」送總務處辦理財產登記。</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第五章     財產養護</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第二十條  使用或經管單位「財產帳務管理人」及「財產保管人」應檢查所管理或所使用之財產保養狀況，作成紀錄備查及建議改進。檢查方式如下：</w:t>
      </w:r>
      <w:r w:rsidRPr="00B509BB">
        <w:rPr>
          <w:rFonts w:ascii="標楷體" w:eastAsia="標楷體" w:hAnsi="標楷體" w:cs="BiauKai"/>
          <w:color w:val="000000"/>
          <w:sz w:val="27"/>
          <w:szCs w:val="27"/>
        </w:rPr>
        <w:br/>
        <w:t> 一、定期檢查：每學年辦理一次，檢查重點為財產狀況及帳、物核對。</w:t>
      </w:r>
      <w:r w:rsidRPr="00B509BB">
        <w:rPr>
          <w:rFonts w:ascii="標楷體" w:eastAsia="標楷體" w:hAnsi="標楷體" w:cs="BiauKai"/>
          <w:color w:val="000000"/>
          <w:sz w:val="27"/>
          <w:szCs w:val="27"/>
        </w:rPr>
        <w:br/>
        <w:t> 二、緊急檢查：發生風、水、火、震災及空襲過後為之。</w:t>
      </w:r>
      <w:r w:rsidRPr="00B509BB">
        <w:rPr>
          <w:rFonts w:ascii="標楷體" w:eastAsia="標楷體" w:hAnsi="標楷體" w:cs="BiauKai"/>
          <w:color w:val="000000"/>
          <w:sz w:val="27"/>
          <w:szCs w:val="27"/>
        </w:rPr>
        <w:br/>
        <w:t> 三、不定期檢查：使用或經管單位主管認為有必要時為之。</w:t>
      </w:r>
    </w:p>
    <w:p w:rsidR="00804511" w:rsidRDefault="00804511" w:rsidP="00804511">
      <w:pPr>
        <w:widowControl/>
        <w:pBdr>
          <w:top w:val="nil"/>
          <w:left w:val="nil"/>
          <w:bottom w:val="nil"/>
          <w:right w:val="nil"/>
          <w:between w:val="nil"/>
        </w:pBdr>
        <w:spacing w:before="280" w:after="280"/>
        <w:ind w:hanging="2"/>
        <w:rPr>
          <w:rFonts w:ascii="標楷體" w:eastAsia="標楷體" w:hAnsi="標楷體" w:cs="BiauKai" w:hint="eastAsia"/>
          <w:color w:val="000000"/>
          <w:sz w:val="27"/>
          <w:szCs w:val="27"/>
        </w:rPr>
      </w:pPr>
      <w:proofErr w:type="gramStart"/>
      <w:r w:rsidRPr="00B509BB">
        <w:rPr>
          <w:rFonts w:ascii="標楷體" w:eastAsia="標楷體" w:hAnsi="標楷體" w:cs="BiauKai"/>
          <w:color w:val="000000"/>
          <w:sz w:val="27"/>
          <w:szCs w:val="27"/>
        </w:rPr>
        <w:lastRenderedPageBreak/>
        <w:t>第廿一條</w:t>
      </w:r>
      <w:proofErr w:type="gramEnd"/>
      <w:r w:rsidRPr="00B509BB">
        <w:rPr>
          <w:rFonts w:ascii="標楷體" w:eastAsia="標楷體" w:hAnsi="標楷體" w:cs="BiauKai"/>
          <w:color w:val="000000"/>
          <w:sz w:val="27"/>
          <w:szCs w:val="27"/>
        </w:rPr>
        <w:t>   為防範財物遭竊或遺失，使用或經管單位應注意下列要點：</w:t>
      </w:r>
    </w:p>
    <w:p w:rsidR="00804511" w:rsidRDefault="00804511" w:rsidP="00804511">
      <w:pPr>
        <w:widowControl/>
        <w:pBdr>
          <w:top w:val="nil"/>
          <w:left w:val="nil"/>
          <w:bottom w:val="nil"/>
          <w:right w:val="nil"/>
          <w:between w:val="nil"/>
        </w:pBdr>
        <w:spacing w:before="280" w:after="280"/>
        <w:ind w:left="1418"/>
        <w:rPr>
          <w:rFonts w:ascii="標楷體" w:eastAsia="標楷體" w:hAnsi="標楷體" w:cs="BiauKai" w:hint="eastAsia"/>
          <w:color w:val="000000"/>
          <w:sz w:val="27"/>
          <w:szCs w:val="27"/>
        </w:rPr>
      </w:pPr>
      <w:r w:rsidRPr="00B509BB">
        <w:rPr>
          <w:rFonts w:ascii="標楷體" w:eastAsia="標楷體" w:hAnsi="標楷體" w:cs="BiauKai"/>
          <w:color w:val="000000"/>
          <w:sz w:val="27"/>
          <w:szCs w:val="27"/>
        </w:rPr>
        <w:t>一、放置財產場所之門鎖鑰匙應由專人保管、</w:t>
      </w:r>
      <w:proofErr w:type="gramStart"/>
      <w:r w:rsidRPr="00B509BB">
        <w:rPr>
          <w:rFonts w:ascii="標楷體" w:eastAsia="標楷體" w:hAnsi="標楷體" w:cs="BiauKai"/>
          <w:color w:val="000000"/>
          <w:sz w:val="27"/>
          <w:szCs w:val="27"/>
        </w:rPr>
        <w:t>開閉</w:t>
      </w:r>
      <w:proofErr w:type="gramEnd"/>
      <w:r w:rsidRPr="00B509BB">
        <w:rPr>
          <w:rFonts w:ascii="標楷體" w:eastAsia="標楷體" w:hAnsi="標楷體" w:cs="BiauKai"/>
          <w:color w:val="000000"/>
          <w:sz w:val="27"/>
          <w:szCs w:val="27"/>
        </w:rPr>
        <w:t>。</w:t>
      </w:r>
      <w:proofErr w:type="gramStart"/>
      <w:r w:rsidRPr="00B509BB">
        <w:rPr>
          <w:rFonts w:ascii="標楷體" w:eastAsia="標楷體" w:hAnsi="標楷體" w:cs="BiauKai"/>
          <w:color w:val="000000"/>
          <w:sz w:val="27"/>
          <w:szCs w:val="27"/>
        </w:rPr>
        <w:t>門鎖統由</w:t>
      </w:r>
      <w:proofErr w:type="gramEnd"/>
      <w:r w:rsidRPr="00B509BB">
        <w:rPr>
          <w:rFonts w:ascii="標楷體" w:eastAsia="標楷體" w:hAnsi="標楷體" w:cs="BiauKai"/>
          <w:color w:val="000000"/>
          <w:sz w:val="27"/>
          <w:szCs w:val="27"/>
        </w:rPr>
        <w:t>總務處負責安裝。</w:t>
      </w:r>
    </w:p>
    <w:p w:rsidR="00804511" w:rsidRPr="00B509BB" w:rsidRDefault="00804511" w:rsidP="00804511">
      <w:pPr>
        <w:widowControl/>
        <w:pBdr>
          <w:top w:val="nil"/>
          <w:left w:val="nil"/>
          <w:bottom w:val="nil"/>
          <w:right w:val="nil"/>
          <w:between w:val="nil"/>
        </w:pBdr>
        <w:spacing w:before="280" w:after="280"/>
        <w:ind w:left="1418"/>
        <w:rPr>
          <w:rFonts w:ascii="標楷體" w:eastAsia="標楷體" w:hAnsi="標楷體" w:cs="BiauKai"/>
          <w:color w:val="000000"/>
          <w:sz w:val="27"/>
          <w:szCs w:val="27"/>
        </w:rPr>
      </w:pPr>
      <w:r w:rsidRPr="00B509BB">
        <w:rPr>
          <w:rFonts w:ascii="標楷體" w:eastAsia="標楷體" w:hAnsi="標楷體" w:cs="BiauKai"/>
          <w:color w:val="000000"/>
          <w:sz w:val="27"/>
          <w:szCs w:val="27"/>
        </w:rPr>
        <w:t>二、非屬專人使用之財產，應設置「財產使用登記管制簿」，詳實登載備查。</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第六章     財產移轉</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第廿二條</w:t>
      </w:r>
      <w:proofErr w:type="gramEnd"/>
      <w:r w:rsidRPr="00B509BB">
        <w:rPr>
          <w:rFonts w:ascii="標楷體" w:eastAsia="標楷體" w:hAnsi="標楷體" w:cs="BiauKai"/>
          <w:color w:val="000000"/>
          <w:sz w:val="27"/>
          <w:szCs w:val="27"/>
        </w:rPr>
        <w:t>  各單位所使用經管之財產，未經辦理移轉登記前，原使用經管單位責任不得解除；如有移轉之必要，應依下列程序辦理：</w:t>
      </w:r>
      <w:r w:rsidRPr="00B509BB">
        <w:rPr>
          <w:rFonts w:ascii="標楷體" w:eastAsia="標楷體" w:hAnsi="標楷體" w:cs="BiauKai"/>
          <w:color w:val="000000"/>
          <w:sz w:val="27"/>
          <w:szCs w:val="27"/>
        </w:rPr>
        <w:br/>
        <w:t>一、由移出單位填寫「財產移轉單」，連同財產相關資料送至移入單位。</w:t>
      </w:r>
      <w:r w:rsidRPr="00B509BB">
        <w:rPr>
          <w:rFonts w:ascii="標楷體" w:eastAsia="標楷體" w:hAnsi="標楷體" w:cs="BiauKai"/>
          <w:color w:val="000000"/>
          <w:sz w:val="27"/>
          <w:szCs w:val="27"/>
        </w:rPr>
        <w:br/>
        <w:t>二、移入單位主管經財產點清簽章確認後，送總務處財產管理人辦理移轉登記。</w:t>
      </w:r>
    </w:p>
    <w:p w:rsidR="00804511" w:rsidRPr="00B509BB" w:rsidRDefault="00804511" w:rsidP="00804511">
      <w:pPr>
        <w:widowControl/>
        <w:pBdr>
          <w:top w:val="nil"/>
          <w:left w:val="nil"/>
          <w:bottom w:val="nil"/>
          <w:right w:val="nil"/>
          <w:between w:val="nil"/>
        </w:pBdr>
        <w:spacing w:beforeLines="50" w:before="180"/>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第廿三條</w:t>
      </w:r>
      <w:proofErr w:type="gramEnd"/>
      <w:r w:rsidRPr="00B509BB">
        <w:rPr>
          <w:rFonts w:ascii="標楷體" w:eastAsia="標楷體" w:hAnsi="標楷體" w:cs="BiauKai"/>
          <w:color w:val="000000"/>
          <w:sz w:val="27"/>
          <w:szCs w:val="27"/>
        </w:rPr>
        <w:t>  各單位所使用或經管之財產，如有必要外借均應填寫借用申請表經該單位主管核准始得為之，唯回復原狀之責任仍屬原使用經管單位。財產保管人對於所保管使用之可攜式財產，因業務需要或因該項財產之使用特性非隨身攜帶不足以充分發揮其功能者，</w:t>
      </w:r>
      <w:proofErr w:type="gramStart"/>
      <w:r w:rsidRPr="00B509BB">
        <w:rPr>
          <w:rFonts w:ascii="標楷體" w:eastAsia="標楷體" w:hAnsi="標楷體" w:cs="BiauKai"/>
          <w:color w:val="000000"/>
          <w:sz w:val="27"/>
          <w:szCs w:val="27"/>
        </w:rPr>
        <w:t>均應填寫</w:t>
      </w:r>
      <w:proofErr w:type="gramEnd"/>
      <w:r w:rsidRPr="00B509BB">
        <w:rPr>
          <w:rFonts w:ascii="標楷體" w:eastAsia="標楷體" w:hAnsi="標楷體" w:cs="BiauKai"/>
          <w:color w:val="000000"/>
          <w:sz w:val="27"/>
          <w:szCs w:val="27"/>
        </w:rPr>
        <w:t>特殊使用狀況申請表經該單位主管核准</w:t>
      </w:r>
      <w:proofErr w:type="gramStart"/>
      <w:r w:rsidRPr="00B509BB">
        <w:rPr>
          <w:rFonts w:ascii="標楷體" w:eastAsia="標楷體" w:hAnsi="標楷體" w:cs="BiauKai"/>
          <w:color w:val="000000"/>
          <w:sz w:val="27"/>
          <w:szCs w:val="27"/>
        </w:rPr>
        <w:t>始得攜出</w:t>
      </w:r>
      <w:proofErr w:type="gramEnd"/>
      <w:r w:rsidRPr="00B509BB">
        <w:rPr>
          <w:rFonts w:ascii="標楷體" w:eastAsia="標楷體" w:hAnsi="標楷體" w:cs="BiauKai"/>
          <w:color w:val="000000"/>
          <w:sz w:val="27"/>
          <w:szCs w:val="27"/>
        </w:rPr>
        <w:t>校外使用，唯回復原狀之責任仍屬原使用經管單位。 </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第七章     財產減損及廢品處理</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color w:val="000000"/>
          <w:sz w:val="27"/>
          <w:szCs w:val="27"/>
        </w:rPr>
        <w:t>第一節     財產減損</w:t>
      </w:r>
    </w:p>
    <w:p w:rsidR="00804511" w:rsidRPr="00B509BB" w:rsidRDefault="00804511" w:rsidP="00804511">
      <w:pPr>
        <w:widowControl/>
        <w:pBdr>
          <w:top w:val="nil"/>
          <w:left w:val="nil"/>
          <w:bottom w:val="nil"/>
          <w:right w:val="nil"/>
          <w:between w:val="nil"/>
        </w:pBdr>
        <w:ind w:hanging="2"/>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第廿四條</w:t>
      </w:r>
      <w:proofErr w:type="gramEnd"/>
      <w:r w:rsidRPr="00B509BB">
        <w:rPr>
          <w:rFonts w:ascii="標楷體" w:eastAsia="標楷體" w:hAnsi="標楷體" w:cs="BiauKai"/>
          <w:color w:val="000000"/>
          <w:sz w:val="27"/>
          <w:szCs w:val="27"/>
        </w:rPr>
        <w:t>   財產減損包括：變賣、報廢、遺失、失竊、贈與。報廢為經常處理之方式。</w:t>
      </w:r>
      <w:r w:rsidRPr="00B509BB">
        <w:rPr>
          <w:rFonts w:ascii="標楷體" w:eastAsia="標楷體" w:hAnsi="標楷體" w:cs="BiauKai"/>
          <w:color w:val="000000"/>
          <w:sz w:val="27"/>
          <w:szCs w:val="27"/>
        </w:rPr>
        <w:br/>
        <w:t xml:space="preserve">           </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第廿五條</w:t>
      </w:r>
      <w:proofErr w:type="gramEnd"/>
      <w:r w:rsidRPr="00B509BB">
        <w:rPr>
          <w:rFonts w:ascii="標楷體" w:eastAsia="標楷體" w:hAnsi="標楷體" w:cs="BiauKai"/>
          <w:color w:val="000000"/>
          <w:sz w:val="27"/>
          <w:szCs w:val="27"/>
        </w:rPr>
        <w:t>  財產「最低耐用年限」，依行政院頒「財物標準分類」所訂年限為準，為至少應使用年數，但非｢使用年限｣屆滿即可申請報廢；擬辦理報廢前，財產保管人應審慎鑑定是否已達報廢狀態，如屬財產遺失，毀損或其他意外事故導致損失時，辦理報廢須先查明責任。財產保管人應檢附有關證明文件，詳述事實經過、責任評析、報案尋找過程及報告書〈如有報案者，附報案書〉等以憑辦理；財產報廢在下列情況時始可填寫「財產報廢申請單」提出申請：</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一、財產已達應使用年數，且確實無法使用。</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二、財產雖達應使用年數，但尚可使用，唯因科技進步必需進行汰舊換新，並經逐級簽請校長核准定案後。</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三、財產因遭竊、遺失或發生災害致不存在，經簽請校長議處核准定案後。</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四、財產雖未達使用年數，但因教學之需使用頻繁致損壞無法使用或維修費用不經濟或其他原因等，經逐級簽請校長核准定案後。</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五、財產早已超過應使用年數，雖可使用但因</w:t>
      </w:r>
      <w:proofErr w:type="gramStart"/>
      <w:r w:rsidRPr="00B509BB">
        <w:rPr>
          <w:rFonts w:ascii="標楷體" w:eastAsia="標楷體" w:hAnsi="標楷體" w:cs="BiauKai"/>
          <w:color w:val="000000"/>
          <w:sz w:val="27"/>
          <w:szCs w:val="27"/>
        </w:rPr>
        <w:t>老舊致有礙觀瞻</w:t>
      </w:r>
      <w:proofErr w:type="gramEnd"/>
      <w:r w:rsidRPr="00B509BB">
        <w:rPr>
          <w:rFonts w:ascii="標楷體" w:eastAsia="標楷體" w:hAnsi="標楷體" w:cs="BiauKai"/>
          <w:color w:val="000000"/>
          <w:sz w:val="27"/>
          <w:szCs w:val="27"/>
        </w:rPr>
        <w:t>時，從總務處認定。</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第廿六條</w:t>
      </w:r>
      <w:proofErr w:type="gramEnd"/>
      <w:r w:rsidRPr="00B509BB">
        <w:rPr>
          <w:rFonts w:ascii="標楷體" w:eastAsia="標楷體" w:hAnsi="標楷體" w:cs="BiauKai"/>
          <w:color w:val="000000"/>
          <w:sz w:val="27"/>
          <w:szCs w:val="27"/>
        </w:rPr>
        <w:t>  經管單位提出財產報廢申請後，由總務處財產管理人派員及會同會計稽查人員前往勘驗該申請報廢之財產損壞程度，經簽註意見報請核准辦理除帳並處理廢品。未</w:t>
      </w:r>
      <w:proofErr w:type="gramStart"/>
      <w:r w:rsidRPr="00B509BB">
        <w:rPr>
          <w:rFonts w:ascii="標楷體" w:eastAsia="標楷體" w:hAnsi="標楷體" w:cs="BiauKai"/>
          <w:color w:val="000000"/>
          <w:sz w:val="27"/>
          <w:szCs w:val="27"/>
        </w:rPr>
        <w:t>奉核前</w:t>
      </w:r>
      <w:proofErr w:type="gramEnd"/>
      <w:r w:rsidRPr="00B509BB">
        <w:rPr>
          <w:rFonts w:ascii="標楷體" w:eastAsia="標楷體" w:hAnsi="標楷體" w:cs="BiauKai"/>
          <w:color w:val="000000"/>
          <w:sz w:val="27"/>
          <w:szCs w:val="27"/>
        </w:rPr>
        <w:t>，使用單位仍應妥為保管，不得隨意丟棄。</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color w:val="000000"/>
          <w:sz w:val="27"/>
          <w:szCs w:val="27"/>
        </w:rPr>
        <w:lastRenderedPageBreak/>
        <w:t>第二節     廢品處理</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第廿七條</w:t>
      </w:r>
      <w:proofErr w:type="gramEnd"/>
      <w:r w:rsidRPr="00B509BB">
        <w:rPr>
          <w:rFonts w:ascii="標楷體" w:eastAsia="標楷體" w:hAnsi="標楷體" w:cs="BiauKai"/>
          <w:color w:val="000000"/>
          <w:sz w:val="27"/>
          <w:szCs w:val="27"/>
        </w:rPr>
        <w:t>  環保顧慮之廢品，以要求提供新品之廠商折價或無條件或付費回收為原則。</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第廿八條</w:t>
      </w:r>
      <w:proofErr w:type="gramEnd"/>
      <w:r w:rsidRPr="00B509BB">
        <w:rPr>
          <w:rFonts w:ascii="標楷體" w:eastAsia="標楷體" w:hAnsi="標楷體" w:cs="BiauKai"/>
          <w:color w:val="000000"/>
          <w:sz w:val="27"/>
          <w:szCs w:val="27"/>
        </w:rPr>
        <w:t>  舊尚堪用之廢品，以報請變賣或轉撥、贈送為原則；如無法變賣則消除財產標籤、註記並拆卸後集中定點，總務處定期招</w:t>
      </w:r>
      <w:proofErr w:type="gramStart"/>
      <w:r w:rsidRPr="00B509BB">
        <w:rPr>
          <w:rFonts w:ascii="標楷體" w:eastAsia="標楷體" w:hAnsi="標楷體" w:cs="BiauKai"/>
          <w:color w:val="000000"/>
          <w:sz w:val="27"/>
          <w:szCs w:val="27"/>
        </w:rPr>
        <w:t>商付費清</w:t>
      </w:r>
      <w:proofErr w:type="gramEnd"/>
      <w:r w:rsidRPr="00B509BB">
        <w:rPr>
          <w:rFonts w:ascii="標楷體" w:eastAsia="標楷體" w:hAnsi="標楷體" w:cs="BiauKai"/>
          <w:color w:val="000000"/>
          <w:sz w:val="27"/>
          <w:szCs w:val="27"/>
        </w:rPr>
        <w:t>運；或視實際情況適時簽奉核定後處理之。變賣所得悉數轉入本校其它收入所得。</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第八章     財產管理查核</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第廿九條</w:t>
      </w:r>
      <w:proofErr w:type="gramEnd"/>
      <w:r w:rsidRPr="00B509BB">
        <w:rPr>
          <w:rFonts w:ascii="標楷體" w:eastAsia="標楷體" w:hAnsi="標楷體" w:cs="BiauKai"/>
          <w:color w:val="000000"/>
          <w:sz w:val="27"/>
          <w:szCs w:val="27"/>
        </w:rPr>
        <w:t>  使用、經管單位主管應重視財產管理督導工作，俾使各單位之財產帳務管理人及財產保管人提高警覺，以免財產遭受不意之損失。</w:t>
      </w:r>
    </w:p>
    <w:p w:rsidR="00804511" w:rsidRPr="00B509BB" w:rsidRDefault="00804511" w:rsidP="00804511">
      <w:pPr>
        <w:widowControl/>
        <w:pBdr>
          <w:top w:val="nil"/>
          <w:left w:val="nil"/>
          <w:bottom w:val="nil"/>
          <w:right w:val="nil"/>
          <w:between w:val="nil"/>
        </w:pBdr>
        <w:spacing w:beforeLines="50" w:before="180"/>
        <w:ind w:left="1350" w:hangingChars="500" w:hanging="1350"/>
        <w:rPr>
          <w:rFonts w:ascii="標楷體" w:eastAsia="標楷體" w:hAnsi="標楷體" w:cs="BiauKai"/>
          <w:color w:val="000000"/>
          <w:sz w:val="27"/>
          <w:szCs w:val="27"/>
        </w:rPr>
      </w:pPr>
      <w:r w:rsidRPr="00B509BB">
        <w:rPr>
          <w:rFonts w:ascii="標楷體" w:eastAsia="標楷體" w:hAnsi="標楷體" w:cs="BiauKai"/>
          <w:color w:val="000000"/>
          <w:sz w:val="27"/>
          <w:szCs w:val="27"/>
        </w:rPr>
        <w:t>第三十條  </w:t>
      </w:r>
      <w:r w:rsidRPr="00B509BB">
        <w:rPr>
          <w:rFonts w:ascii="標楷體" w:eastAsia="標楷體" w:hAnsi="標楷體" w:cs="BiauKai" w:hint="eastAsia"/>
          <w:color w:val="000000"/>
          <w:sz w:val="27"/>
          <w:szCs w:val="27"/>
        </w:rPr>
        <w:t>總</w:t>
      </w:r>
      <w:r w:rsidRPr="00B509BB">
        <w:rPr>
          <w:rFonts w:ascii="標楷體" w:eastAsia="標楷體" w:hAnsi="標楷體" w:cs="BiauKai"/>
          <w:color w:val="000000"/>
          <w:sz w:val="27"/>
          <w:szCs w:val="27"/>
        </w:rPr>
        <w:t>務處財產管理人應經常對各使用、經管單位進行不定期之財產抽點工作，主動發掘問題提請檢討，謀求改善並列入紀錄備查，並於適當時間予以複核。</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第九章     財產遺失、失竊及毀損</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第卅一條</w:t>
      </w:r>
      <w:proofErr w:type="gramEnd"/>
      <w:r w:rsidRPr="00B509BB">
        <w:rPr>
          <w:rFonts w:ascii="標楷體" w:eastAsia="標楷體" w:hAnsi="標楷體" w:cs="BiauKai"/>
          <w:color w:val="000000"/>
          <w:sz w:val="27"/>
          <w:szCs w:val="27"/>
        </w:rPr>
        <w:t>  單位發現財產遺失或失竊時，應保持現埸原狀，並由財產保管人通知總務處財產管理人。</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第卅二條</w:t>
      </w:r>
      <w:proofErr w:type="gramEnd"/>
      <w:r w:rsidRPr="00B509BB">
        <w:rPr>
          <w:rFonts w:ascii="標楷體" w:eastAsia="標楷體" w:hAnsi="標楷體" w:cs="BiauKai"/>
          <w:color w:val="000000"/>
          <w:sz w:val="27"/>
          <w:szCs w:val="27"/>
        </w:rPr>
        <w:t>  單位財產保管人，對所使用之財產未盡善良管理人應有之注意，致財產發生損失者，應負賠償責任；賠償之標準以恢復原狀為原則或依行政院頒</w:t>
      </w:r>
      <w:proofErr w:type="gramStart"/>
      <w:r w:rsidRPr="00B509BB">
        <w:rPr>
          <w:rFonts w:ascii="標楷體" w:eastAsia="標楷體" w:hAnsi="標楷體" w:cs="BiauKai"/>
          <w:color w:val="000000"/>
          <w:sz w:val="27"/>
          <w:szCs w:val="27"/>
        </w:rPr>
        <w:t>佈</w:t>
      </w:r>
      <w:proofErr w:type="gramEnd"/>
      <w:r w:rsidRPr="00B509BB">
        <w:rPr>
          <w:rFonts w:ascii="標楷體" w:eastAsia="標楷體" w:hAnsi="標楷體" w:cs="BiauKai"/>
          <w:color w:val="000000"/>
          <w:sz w:val="27"/>
          <w:szCs w:val="27"/>
        </w:rPr>
        <w:t>之「財物標準分類」中「最低耐用年限」，按使用年數以平均法折舊計算，且不得低於原財產購置價格之百分之二十為限，並得於</w:t>
      </w:r>
      <w:proofErr w:type="gramStart"/>
      <w:r w:rsidRPr="00B509BB">
        <w:rPr>
          <w:rFonts w:ascii="標楷體" w:eastAsia="標楷體" w:hAnsi="標楷體" w:cs="BiauKai"/>
          <w:color w:val="000000"/>
          <w:sz w:val="27"/>
          <w:szCs w:val="27"/>
        </w:rPr>
        <w:t>簽核奉准</w:t>
      </w:r>
      <w:proofErr w:type="gramEnd"/>
      <w:r w:rsidRPr="00B509BB">
        <w:rPr>
          <w:rFonts w:ascii="標楷體" w:eastAsia="標楷體" w:hAnsi="標楷體" w:cs="BiauKai"/>
          <w:color w:val="000000"/>
          <w:sz w:val="27"/>
          <w:szCs w:val="27"/>
        </w:rPr>
        <w:t>後自薪資中扣除。</w:t>
      </w:r>
    </w:p>
    <w:p w:rsidR="00804511" w:rsidRPr="00B509BB"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第卅三條</w:t>
      </w:r>
      <w:proofErr w:type="gramEnd"/>
      <w:r w:rsidRPr="00B509BB">
        <w:rPr>
          <w:rFonts w:ascii="標楷體" w:eastAsia="標楷體" w:hAnsi="標楷體" w:cs="BiauKai"/>
          <w:color w:val="000000"/>
          <w:sz w:val="27"/>
          <w:szCs w:val="27"/>
        </w:rPr>
        <w:t>   本校教職員工及學生，對學校財產有下列情事之一者，依法究辦：</w:t>
      </w:r>
      <w:r w:rsidRPr="00B509BB">
        <w:rPr>
          <w:rFonts w:ascii="標楷體" w:eastAsia="標楷體" w:hAnsi="標楷體" w:cs="BiauKai"/>
          <w:color w:val="000000"/>
          <w:sz w:val="27"/>
          <w:szCs w:val="27"/>
        </w:rPr>
        <w:br/>
        <w:t>           一、盜賣學校財產經查明屬實者。</w:t>
      </w:r>
      <w:r w:rsidRPr="00B509BB">
        <w:rPr>
          <w:rFonts w:ascii="標楷體" w:eastAsia="標楷體" w:hAnsi="標楷體" w:cs="BiauKai"/>
          <w:color w:val="000000"/>
          <w:sz w:val="27"/>
          <w:szCs w:val="27"/>
        </w:rPr>
        <w:br/>
        <w:t>           二、以舊品或</w:t>
      </w:r>
      <w:proofErr w:type="gramStart"/>
      <w:r w:rsidRPr="00B509BB">
        <w:rPr>
          <w:rFonts w:ascii="標楷體" w:eastAsia="標楷體" w:hAnsi="標楷體" w:cs="BiauKai"/>
          <w:color w:val="000000"/>
          <w:sz w:val="27"/>
          <w:szCs w:val="27"/>
        </w:rPr>
        <w:t>廢棄品抵充</w:t>
      </w:r>
      <w:proofErr w:type="gramEnd"/>
      <w:r w:rsidRPr="00B509BB">
        <w:rPr>
          <w:rFonts w:ascii="標楷體" w:eastAsia="標楷體" w:hAnsi="標楷體" w:cs="BiauKai"/>
          <w:color w:val="000000"/>
          <w:sz w:val="27"/>
          <w:szCs w:val="27"/>
        </w:rPr>
        <w:t>價款或效用較高之財產牟取不法利益者。</w:t>
      </w:r>
      <w:r w:rsidRPr="00B509BB">
        <w:rPr>
          <w:rFonts w:ascii="標楷體" w:eastAsia="標楷體" w:hAnsi="標楷體" w:cs="BiauKai"/>
          <w:color w:val="000000"/>
          <w:sz w:val="27"/>
          <w:szCs w:val="27"/>
        </w:rPr>
        <w:br/>
        <w:t>           三、未報經核准，而擅將校產移出校外者。</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t xml:space="preserve">第十章     財產盤點 </w:t>
      </w:r>
    </w:p>
    <w:p w:rsidR="00804511" w:rsidRPr="00B509BB" w:rsidRDefault="00804511" w:rsidP="00804511">
      <w:pPr>
        <w:widowControl/>
        <w:pBdr>
          <w:top w:val="nil"/>
          <w:left w:val="nil"/>
          <w:bottom w:val="nil"/>
          <w:right w:val="nil"/>
          <w:between w:val="nil"/>
        </w:pBdr>
        <w:ind w:hanging="2"/>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第卅四條</w:t>
      </w:r>
      <w:proofErr w:type="gramEnd"/>
      <w:r w:rsidRPr="00B509BB">
        <w:rPr>
          <w:rFonts w:ascii="標楷體" w:eastAsia="標楷體" w:hAnsi="標楷體" w:cs="BiauKai"/>
          <w:color w:val="000000"/>
          <w:sz w:val="27"/>
          <w:szCs w:val="27"/>
        </w:rPr>
        <w:t>   一般原則：</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一、本校各單位對所管理及使用之財產，應注意保養及整理，不得毀損、棄置。</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二、本校財產由總務處財產管理人及財產使用單位隨時盤查，每一會計年度至少實施盤點一次，並應作成盤點紀錄，以確保財產安全。</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三、財產之抽查或盤點，各單位應請派專人配合作業。</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四、財產盤點後，如發現有毀損，應即查明原因，其肇因於財產保管人或財產使用者之過失，應負賠償責任。其因意外事故毀損或正常使用而自然毀損者，應依規定手續辦理財產報廢。</w:t>
      </w:r>
    </w:p>
    <w:p w:rsidR="00804511" w:rsidRPr="00B509BB" w:rsidRDefault="00804511" w:rsidP="00804511">
      <w:pPr>
        <w:widowControl/>
        <w:pBdr>
          <w:top w:val="nil"/>
          <w:left w:val="nil"/>
          <w:bottom w:val="nil"/>
          <w:right w:val="nil"/>
          <w:between w:val="nil"/>
        </w:pBdr>
        <w:spacing w:beforeLines="50" w:before="180"/>
        <w:ind w:leftChars="500" w:left="1740" w:hangingChars="200" w:hanging="540"/>
        <w:rPr>
          <w:rFonts w:ascii="標楷體" w:eastAsia="標楷體" w:hAnsi="標楷體" w:cs="BiauKai"/>
          <w:color w:val="000000"/>
          <w:sz w:val="27"/>
          <w:szCs w:val="27"/>
        </w:rPr>
      </w:pPr>
      <w:r w:rsidRPr="00B509BB">
        <w:rPr>
          <w:rFonts w:ascii="標楷體" w:eastAsia="標楷體" w:hAnsi="標楷體" w:cs="BiauKai"/>
          <w:color w:val="000000"/>
          <w:sz w:val="27"/>
          <w:szCs w:val="27"/>
        </w:rPr>
        <w:t>五、如有</w:t>
      </w:r>
      <w:proofErr w:type="gramStart"/>
      <w:r w:rsidRPr="00B509BB">
        <w:rPr>
          <w:rFonts w:ascii="標楷體" w:eastAsia="標楷體" w:hAnsi="標楷體" w:cs="BiauKai"/>
          <w:color w:val="000000"/>
          <w:sz w:val="27"/>
          <w:szCs w:val="27"/>
        </w:rPr>
        <w:t>盤盈或盤虧</w:t>
      </w:r>
      <w:proofErr w:type="gramEnd"/>
      <w:r w:rsidRPr="00B509BB">
        <w:rPr>
          <w:rFonts w:ascii="標楷體" w:eastAsia="標楷體" w:hAnsi="標楷體" w:cs="BiauKai"/>
          <w:color w:val="000000"/>
          <w:sz w:val="27"/>
          <w:szCs w:val="27"/>
        </w:rPr>
        <w:t>，應分別查明原因，並依</w:t>
      </w:r>
      <w:proofErr w:type="gramStart"/>
      <w:r w:rsidRPr="00B509BB">
        <w:rPr>
          <w:rFonts w:ascii="標楷體" w:eastAsia="標楷體" w:hAnsi="標楷體" w:cs="BiauKai"/>
          <w:color w:val="000000"/>
          <w:sz w:val="27"/>
          <w:szCs w:val="27"/>
        </w:rPr>
        <w:t>規定補為財產</w:t>
      </w:r>
      <w:proofErr w:type="gramEnd"/>
      <w:r w:rsidRPr="00B509BB">
        <w:rPr>
          <w:rFonts w:ascii="標楷體" w:eastAsia="標楷體" w:hAnsi="標楷體" w:cs="BiauKai"/>
          <w:color w:val="000000"/>
          <w:sz w:val="27"/>
          <w:szCs w:val="27"/>
        </w:rPr>
        <w:t>增減之登記。</w:t>
      </w:r>
    </w:p>
    <w:p w:rsidR="00804511" w:rsidRPr="00B509BB" w:rsidRDefault="00804511" w:rsidP="00804511">
      <w:pPr>
        <w:widowControl/>
        <w:pBdr>
          <w:top w:val="nil"/>
          <w:left w:val="nil"/>
          <w:bottom w:val="nil"/>
          <w:right w:val="nil"/>
          <w:between w:val="nil"/>
        </w:pBdr>
        <w:spacing w:before="280" w:after="280"/>
        <w:ind w:left="1" w:hanging="3"/>
        <w:rPr>
          <w:rFonts w:ascii="標楷體" w:eastAsia="標楷體" w:hAnsi="標楷體" w:cs="BiauKai"/>
          <w:color w:val="000000"/>
          <w:sz w:val="27"/>
          <w:szCs w:val="27"/>
        </w:rPr>
      </w:pPr>
      <w:r w:rsidRPr="00B509BB">
        <w:rPr>
          <w:rFonts w:ascii="標楷體" w:eastAsia="標楷體" w:hAnsi="標楷體" w:cs="BiauKai"/>
          <w:b/>
          <w:color w:val="000000"/>
          <w:sz w:val="27"/>
          <w:szCs w:val="27"/>
        </w:rPr>
        <w:lastRenderedPageBreak/>
        <w:t xml:space="preserve">第十一章   其他 </w:t>
      </w:r>
    </w:p>
    <w:p w:rsidR="00804511" w:rsidRPr="00B509BB" w:rsidRDefault="00804511" w:rsidP="00804511">
      <w:pPr>
        <w:widowControl/>
        <w:pBdr>
          <w:top w:val="nil"/>
          <w:left w:val="nil"/>
          <w:bottom w:val="nil"/>
          <w:right w:val="nil"/>
          <w:between w:val="nil"/>
        </w:pBdr>
        <w:ind w:left="1350" w:hangingChars="500" w:hanging="1350"/>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第卅五條</w:t>
      </w:r>
      <w:proofErr w:type="gramEnd"/>
      <w:r w:rsidRPr="00B509BB">
        <w:rPr>
          <w:rFonts w:ascii="標楷體" w:eastAsia="標楷體" w:hAnsi="標楷體" w:cs="BiauKai"/>
          <w:color w:val="000000"/>
          <w:sz w:val="27"/>
          <w:szCs w:val="27"/>
        </w:rPr>
        <w:t>  </w:t>
      </w:r>
      <w:r w:rsidRPr="00B509BB">
        <w:rPr>
          <w:rFonts w:ascii="標楷體" w:eastAsia="標楷體" w:hAnsi="標楷體" w:cs="BiauKai" w:hint="eastAsia"/>
          <w:color w:val="000000"/>
          <w:sz w:val="27"/>
          <w:szCs w:val="27"/>
        </w:rPr>
        <w:t>財</w:t>
      </w:r>
      <w:r w:rsidRPr="00B509BB">
        <w:rPr>
          <w:rFonts w:ascii="標楷體" w:eastAsia="標楷體" w:hAnsi="標楷體" w:cs="BiauKai"/>
          <w:color w:val="000000"/>
          <w:sz w:val="27"/>
          <w:szCs w:val="27"/>
        </w:rPr>
        <w:t>產報表：各經管、使用單位之財產明細表應按每學年度列印乙次，分由各經管、使用單位領取。</w:t>
      </w:r>
    </w:p>
    <w:p w:rsidR="00804511" w:rsidRDefault="00804511" w:rsidP="00804511">
      <w:pPr>
        <w:widowControl/>
        <w:pBdr>
          <w:top w:val="nil"/>
          <w:left w:val="nil"/>
          <w:bottom w:val="nil"/>
          <w:right w:val="nil"/>
          <w:between w:val="nil"/>
        </w:pBdr>
        <w:spacing w:before="280" w:after="280"/>
        <w:ind w:hanging="2"/>
        <w:rPr>
          <w:rFonts w:ascii="標楷體" w:eastAsia="標楷體" w:hAnsi="標楷體" w:cs="BiauKai"/>
          <w:color w:val="000000"/>
          <w:sz w:val="27"/>
          <w:szCs w:val="27"/>
        </w:rPr>
      </w:pPr>
      <w:proofErr w:type="gramStart"/>
      <w:r w:rsidRPr="00B509BB">
        <w:rPr>
          <w:rFonts w:ascii="標楷體" w:eastAsia="標楷體" w:hAnsi="標楷體" w:cs="BiauKai"/>
          <w:color w:val="000000"/>
          <w:sz w:val="27"/>
          <w:szCs w:val="27"/>
        </w:rPr>
        <w:t>第卅六條</w:t>
      </w:r>
      <w:proofErr w:type="gramEnd"/>
      <w:r w:rsidRPr="00B509BB">
        <w:rPr>
          <w:rFonts w:ascii="標楷體" w:eastAsia="標楷體" w:hAnsi="標楷體" w:cs="BiauKai"/>
          <w:color w:val="000000"/>
          <w:sz w:val="27"/>
          <w:szCs w:val="27"/>
        </w:rPr>
        <w:t>  本財產管理辦法經</w:t>
      </w:r>
      <w:r w:rsidRPr="00B509BB">
        <w:rPr>
          <w:rFonts w:ascii="標楷體" w:eastAsia="標楷體" w:hAnsi="標楷體" w:cs="BiauKai" w:hint="eastAsia"/>
          <w:color w:val="000000"/>
          <w:sz w:val="27"/>
          <w:szCs w:val="27"/>
        </w:rPr>
        <w:t>校務會議修正通過，並送董事會核備</w:t>
      </w:r>
      <w:r w:rsidRPr="00B509BB">
        <w:rPr>
          <w:rFonts w:ascii="標楷體" w:eastAsia="標楷體" w:hAnsi="標楷體" w:cs="BiauKai"/>
          <w:color w:val="000000"/>
          <w:sz w:val="27"/>
          <w:szCs w:val="27"/>
        </w:rPr>
        <w:t xml:space="preserve">，修正時亦同。 </w:t>
      </w:r>
    </w:p>
    <w:p w:rsidR="00804511" w:rsidRPr="00804511" w:rsidRDefault="00804511" w:rsidP="00804511">
      <w:pPr>
        <w:widowControl/>
        <w:pBdr>
          <w:top w:val="nil"/>
          <w:left w:val="nil"/>
          <w:bottom w:val="nil"/>
          <w:right w:val="nil"/>
          <w:between w:val="nil"/>
        </w:pBdr>
        <w:spacing w:before="280" w:after="280"/>
        <w:ind w:hanging="2"/>
        <w:rPr>
          <w:rFonts w:ascii="標楷體" w:eastAsia="標楷體" w:hAnsi="標楷體" w:cs="BiauKai"/>
          <w:b/>
          <w:color w:val="000000"/>
          <w:sz w:val="40"/>
          <w:szCs w:val="40"/>
        </w:rPr>
      </w:pPr>
      <w:r w:rsidRPr="00804511">
        <w:rPr>
          <w:rFonts w:ascii="標楷體" w:eastAsia="標楷體" w:hAnsi="標楷體" w:cs="BiauKai"/>
          <w:b/>
          <w:color w:val="000000"/>
          <w:sz w:val="40"/>
          <w:szCs w:val="40"/>
        </w:rPr>
        <w:t>財產報廢程序</w:t>
      </w:r>
    </w:p>
    <w:tbl>
      <w:tblPr>
        <w:tblW w:w="9388" w:type="dxa"/>
        <w:jc w:val="center"/>
        <w:tblLayout w:type="fixed"/>
        <w:tblLook w:val="0000" w:firstRow="0" w:lastRow="0" w:firstColumn="0" w:lastColumn="0" w:noHBand="0" w:noVBand="0"/>
      </w:tblPr>
      <w:tblGrid>
        <w:gridCol w:w="809"/>
        <w:gridCol w:w="1574"/>
        <w:gridCol w:w="1557"/>
        <w:gridCol w:w="1581"/>
        <w:gridCol w:w="1563"/>
        <w:gridCol w:w="1635"/>
        <w:gridCol w:w="669"/>
      </w:tblGrid>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填報廢申請書</w:t>
            </w:r>
          </w:p>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或簽案</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59264" behindDoc="0" locked="0" layoutInCell="1" hidden="0" allowOverlap="1" wp14:anchorId="6F1A144B" wp14:editId="5689675F">
                      <wp:simplePos x="0" y="0"/>
                      <wp:positionH relativeFrom="column">
                        <wp:posOffset>76201</wp:posOffset>
                      </wp:positionH>
                      <wp:positionV relativeFrom="paragraph">
                        <wp:posOffset>431800</wp:posOffset>
                      </wp:positionV>
                      <wp:extent cx="840105" cy="25400"/>
                      <wp:effectExtent l="0" t="0" r="0" b="0"/>
                      <wp:wrapNone/>
                      <wp:docPr id="9" name="直線單箭頭接點 9"/>
                      <wp:cNvGraphicFramePr/>
                      <a:graphic xmlns:a="http://schemas.openxmlformats.org/drawingml/2006/main">
                        <a:graphicData uri="http://schemas.microsoft.com/office/word/2010/wordprocessingShape">
                          <wps:wsp>
                            <wps:cNvCnPr/>
                            <wps:spPr>
                              <a:xfrm>
                                <a:off x="4925948" y="3780000"/>
                                <a:ext cx="840105"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單箭頭接點 9" o:spid="_x0000_s1026" type="#_x0000_t32" style="position:absolute;margin-left:6pt;margin-top:34pt;width:66.15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">
                      <v:stroke endarrow="block" joinstyle="miter"/>
                    </v:shape>
                  </w:pict>
                </mc:Fallback>
              </mc:AlternateContent>
            </w:r>
          </w:p>
        </w:tc>
        <w:tc>
          <w:tcPr>
            <w:tcW w:w="1581"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查明報廢原因</w:t>
            </w: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0288" behindDoc="0" locked="0" layoutInCell="1" hidden="0" allowOverlap="1" wp14:anchorId="704F9787" wp14:editId="38750516">
                      <wp:simplePos x="0" y="0"/>
                      <wp:positionH relativeFrom="column">
                        <wp:posOffset>25401</wp:posOffset>
                      </wp:positionH>
                      <wp:positionV relativeFrom="paragraph">
                        <wp:posOffset>431800</wp:posOffset>
                      </wp:positionV>
                      <wp:extent cx="828675" cy="25400"/>
                      <wp:effectExtent l="0" t="0" r="0" b="0"/>
                      <wp:wrapNone/>
                      <wp:docPr id="7" name="直線單箭頭接點 7"/>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7" o:spid="_x0000_s1026" type="#_x0000_t32" style="position:absolute;margin-left:2pt;margin-top:34pt;width:65.25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">
                      <v:stroke endarrow="block" joinstyle="miter"/>
                    </v:shape>
                  </w:pict>
                </mc:Fallback>
              </mc:AlternateContent>
            </w:r>
          </w:p>
        </w:tc>
        <w:tc>
          <w:tcPr>
            <w:tcW w:w="1635"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確定是否達</w:t>
            </w:r>
          </w:p>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報廢標準</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1312" behindDoc="0" locked="0" layoutInCell="1" hidden="0" allowOverlap="1" wp14:anchorId="7C50FE52" wp14:editId="4A398E1E">
                      <wp:simplePos x="0" y="0"/>
                      <wp:positionH relativeFrom="column">
                        <wp:posOffset>431800</wp:posOffset>
                      </wp:positionH>
                      <wp:positionV relativeFrom="paragraph">
                        <wp:posOffset>444500</wp:posOffset>
                      </wp:positionV>
                      <wp:extent cx="12700" cy="1371600"/>
                      <wp:effectExtent l="0" t="0" r="0" b="0"/>
                      <wp:wrapNone/>
                      <wp:docPr id="14" name="直線單箭頭接點 14"/>
                      <wp:cNvGraphicFramePr/>
                      <a:graphic xmlns:a="http://schemas.openxmlformats.org/drawingml/2006/main">
                        <a:graphicData uri="http://schemas.microsoft.com/office/word/2010/wordprocessingShape">
                          <wps:wsp>
                            <wps:cNvCnPr/>
                            <wps:spPr>
                              <a:xfrm>
                                <a:off x="5346000" y="3094200"/>
                                <a:ext cx="0" cy="1371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14" o:spid="_x0000_s1026" type="#_x0000_t32" style="position:absolute;margin-left:34pt;margin-top:35pt;width:1pt;height:10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">
                      <v:stroke joinstyle="miter"/>
                    </v:shape>
                  </w:pict>
                </mc:Fallback>
              </mc:AlternateContent>
            </w:r>
            <w:r w:rsidRPr="00A765F2">
              <w:rPr>
                <w:rFonts w:cs="BiauKai"/>
                <w:noProof/>
                <w:color w:val="000000"/>
                <w:position w:val="-1"/>
              </w:rPr>
              <mc:AlternateContent>
                <mc:Choice Requires="wps">
                  <w:drawing>
                    <wp:anchor distT="0" distB="0" distL="114300" distR="114300" simplePos="0" relativeHeight="251662336" behindDoc="0" locked="0" layoutInCell="1" hidden="0" allowOverlap="1" wp14:anchorId="1D0DF855" wp14:editId="3BFC89C7">
                      <wp:simplePos x="0" y="0"/>
                      <wp:positionH relativeFrom="column">
                        <wp:posOffset>-12699</wp:posOffset>
                      </wp:positionH>
                      <wp:positionV relativeFrom="paragraph">
                        <wp:posOffset>444500</wp:posOffset>
                      </wp:positionV>
                      <wp:extent cx="457200" cy="12700"/>
                      <wp:effectExtent l="0" t="0" r="0" b="0"/>
                      <wp:wrapNone/>
                      <wp:docPr id="12" name="直線單箭頭接點 12"/>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12" o:spid="_x0000_s1026" type="#_x0000_t32" style="position:absolute;margin-left:-1pt;margin-top:35pt;width:36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">
                      <v:stroke joinstyle="miter"/>
                    </v:shape>
                  </w:pict>
                </mc:Fallback>
              </mc:AlternateContent>
            </w: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報廢單位</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核准</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roofErr w:type="gramStart"/>
            <w:r w:rsidRPr="00A765F2">
              <w:rPr>
                <w:rFonts w:cs="BiauKai"/>
                <w:color w:val="000000"/>
                <w:position w:val="-1"/>
              </w:rPr>
              <w:t>帳面</w:t>
            </w:r>
            <w:proofErr w:type="gramEnd"/>
            <w:r w:rsidRPr="00A765F2">
              <w:rPr>
                <w:rFonts w:cs="BiauKai"/>
                <w:color w:val="000000"/>
                <w:position w:val="-1"/>
              </w:rPr>
              <w:t>金額審查</w:t>
            </w: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使用年限審查</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3360" behindDoc="0" locked="0" layoutInCell="1" hidden="0" allowOverlap="1" wp14:anchorId="623E7A45" wp14:editId="11E5A740">
                      <wp:simplePos x="0" y="0"/>
                      <wp:positionH relativeFrom="column">
                        <wp:posOffset>-12699</wp:posOffset>
                      </wp:positionH>
                      <wp:positionV relativeFrom="paragraph">
                        <wp:posOffset>190500</wp:posOffset>
                      </wp:positionV>
                      <wp:extent cx="12700" cy="1371600"/>
                      <wp:effectExtent l="0" t="0" r="0" b="0"/>
                      <wp:wrapNone/>
                      <wp:docPr id="4" name="直線單箭頭接點 4"/>
                      <wp:cNvGraphicFramePr/>
                      <a:graphic xmlns:a="http://schemas.openxmlformats.org/drawingml/2006/main">
                        <a:graphicData uri="http://schemas.microsoft.com/office/word/2010/wordprocessingShape">
                          <wps:wsp>
                            <wps:cNvCnPr/>
                            <wps:spPr>
                              <a:xfrm>
                                <a:off x="5346000" y="3094200"/>
                                <a:ext cx="0" cy="1371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4" o:spid="_x0000_s1026" type="#_x0000_t32" style="position:absolute;margin-left:-1pt;margin-top:15pt;width:1pt;height:10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">
                      <v:stroke joinstyle="miter"/>
                    </v:shape>
                  </w:pict>
                </mc:Fallback>
              </mc:AlternateContent>
            </w:r>
            <w:r w:rsidRPr="00A765F2">
              <w:rPr>
                <w:rFonts w:cs="BiauKai"/>
                <w:noProof/>
                <w:color w:val="000000"/>
                <w:position w:val="-1"/>
              </w:rPr>
              <mc:AlternateContent>
                <mc:Choice Requires="wps">
                  <w:drawing>
                    <wp:anchor distT="0" distB="0" distL="114300" distR="114300" simplePos="0" relativeHeight="251664384" behindDoc="0" locked="0" layoutInCell="1" hidden="0" allowOverlap="1" wp14:anchorId="324DF13B" wp14:editId="732C3A00">
                      <wp:simplePos x="0" y="0"/>
                      <wp:positionH relativeFrom="column">
                        <wp:posOffset>-12699</wp:posOffset>
                      </wp:positionH>
                      <wp:positionV relativeFrom="paragraph">
                        <wp:posOffset>177800</wp:posOffset>
                      </wp:positionV>
                      <wp:extent cx="457200" cy="12700"/>
                      <wp:effectExtent l="0" t="0" r="0" b="0"/>
                      <wp:wrapNone/>
                      <wp:docPr id="3" name="直線單箭頭接點 3"/>
                      <wp:cNvGraphicFramePr/>
                      <a:graphic xmlns:a="http://schemas.openxmlformats.org/drawingml/2006/main">
                        <a:graphicData uri="http://schemas.microsoft.com/office/word/2010/wordprocessingShape">
                          <wps:wsp>
                            <wps:cNvCnPr/>
                            <wps:spPr>
                              <a:xfrm rot="10800000">
                                <a:off x="5117400" y="3780000"/>
                                <a:ext cx="457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3" o:spid="_x0000_s1026" type="#_x0000_t32" style="position:absolute;margin-left:-1pt;margin-top:14pt;width:36pt;height: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">
                      <v:stroke joinstyle="miter"/>
                    </v:shape>
                  </w:pict>
                </mc:Fallback>
              </mc:AlternateContent>
            </w:r>
          </w:p>
        </w:tc>
        <w:tc>
          <w:tcPr>
            <w:tcW w:w="1574"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5408" behindDoc="0" locked="0" layoutInCell="1" hidden="0" allowOverlap="1" wp14:anchorId="02B9FC7A" wp14:editId="34178C25">
                      <wp:simplePos x="0" y="0"/>
                      <wp:positionH relativeFrom="column">
                        <wp:posOffset>76201</wp:posOffset>
                      </wp:positionH>
                      <wp:positionV relativeFrom="paragraph">
                        <wp:posOffset>165100</wp:posOffset>
                      </wp:positionV>
                      <wp:extent cx="798195" cy="25400"/>
                      <wp:effectExtent l="0" t="0" r="0" b="0"/>
                      <wp:wrapNone/>
                      <wp:docPr id="18" name="直線單箭頭接點 18"/>
                      <wp:cNvGraphicFramePr/>
                      <a:graphic xmlns:a="http://schemas.openxmlformats.org/drawingml/2006/main">
                        <a:graphicData uri="http://schemas.microsoft.com/office/word/2010/wordprocessingShape">
                          <wps:wsp>
                            <wps:cNvCnPr/>
                            <wps:spPr>
                              <a:xfrm rot="10800000">
                                <a:off x="4946903" y="3777778"/>
                                <a:ext cx="798195" cy="444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18" o:spid="_x0000_s1026" type="#_x0000_t32" style="position:absolute;margin-left:6pt;margin-top:13pt;width:62.85pt;height:2pt;rotation:18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">
                      <v:stroke endarrow="block" joinstyle="miter"/>
                    </v:shape>
                  </w:pict>
                </mc:Fallback>
              </mc:AlternateContent>
            </w:r>
          </w:p>
        </w:tc>
        <w:tc>
          <w:tcPr>
            <w:tcW w:w="1581"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6432" behindDoc="0" locked="0" layoutInCell="1" hidden="0" allowOverlap="1" wp14:anchorId="06682749" wp14:editId="64B7DCB5">
                      <wp:simplePos x="0" y="0"/>
                      <wp:positionH relativeFrom="column">
                        <wp:posOffset>1</wp:posOffset>
                      </wp:positionH>
                      <wp:positionV relativeFrom="paragraph">
                        <wp:posOffset>177800</wp:posOffset>
                      </wp:positionV>
                      <wp:extent cx="942975" cy="25400"/>
                      <wp:effectExtent l="0" t="0" r="0" b="0"/>
                      <wp:wrapNone/>
                      <wp:docPr id="19" name="直線單箭頭接點 19"/>
                      <wp:cNvGraphicFramePr/>
                      <a:graphic xmlns:a="http://schemas.openxmlformats.org/drawingml/2006/main">
                        <a:graphicData uri="http://schemas.microsoft.com/office/word/2010/wordprocessingShape">
                          <wps:wsp>
                            <wps:cNvCnPr/>
                            <wps:spPr>
                              <a:xfrm rot="10800000">
                                <a:off x="4874513" y="3780000"/>
                                <a:ext cx="942975"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19" o:spid="_x0000_s1026" type="#_x0000_t32" style="position:absolute;margin-left:0;margin-top:14pt;width:74.25pt;height:2pt;rotation:18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">
                      <v:stroke endarrow="block" joinstyle="miter"/>
                    </v:shape>
                  </w:pict>
                </mc:Fallback>
              </mc:AlternateContent>
            </w: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7456" behindDoc="0" locked="0" layoutInCell="1" hidden="0" allowOverlap="1" wp14:anchorId="7C9AE6A3" wp14:editId="5D8F0814">
                      <wp:simplePos x="0" y="0"/>
                      <wp:positionH relativeFrom="column">
                        <wp:posOffset>-12699</wp:posOffset>
                      </wp:positionH>
                      <wp:positionV relativeFrom="paragraph">
                        <wp:posOffset>177800</wp:posOffset>
                      </wp:positionV>
                      <wp:extent cx="457200" cy="25400"/>
                      <wp:effectExtent l="0" t="0" r="0" b="0"/>
                      <wp:wrapNone/>
                      <wp:docPr id="2" name="直線單箭頭接點 2"/>
                      <wp:cNvGraphicFramePr/>
                      <a:graphic xmlns:a="http://schemas.openxmlformats.org/drawingml/2006/main">
                        <a:graphicData uri="http://schemas.microsoft.com/office/word/2010/wordprocessingShape">
                          <wps:wsp>
                            <wps:cNvCnPr/>
                            <wps:spPr>
                              <a:xfrm rot="10800000">
                                <a:off x="5117400" y="3780000"/>
                                <a:ext cx="4572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2" o:spid="_x0000_s1026" type="#_x0000_t32" style="position:absolute;margin-left:-1pt;margin-top:14pt;width:36pt;height:2pt;rotation:18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">
                      <v:stroke endarrow="block" joinstyle="miter"/>
                    </v:shape>
                  </w:pict>
                </mc:Fallback>
              </mc:AlternateContent>
            </w: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校長</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會計室</w:t>
            </w: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8480" behindDoc="0" locked="0" layoutInCell="1" hidden="0" allowOverlap="1" wp14:anchorId="5335D3B0" wp14:editId="5306DA68">
                      <wp:simplePos x="0" y="0"/>
                      <wp:positionH relativeFrom="column">
                        <wp:posOffset>-12699</wp:posOffset>
                      </wp:positionH>
                      <wp:positionV relativeFrom="paragraph">
                        <wp:posOffset>381000</wp:posOffset>
                      </wp:positionV>
                      <wp:extent cx="457200" cy="25400"/>
                      <wp:effectExtent l="0" t="0" r="0" b="0"/>
                      <wp:wrapNone/>
                      <wp:docPr id="17" name="直線單箭頭接點 17"/>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17" o:spid="_x0000_s1026" type="#_x0000_t32" style="position:absolute;margin-left:-1pt;margin-top:30pt;width:36pt;height: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">
                      <v:stroke endarrow="block" joinstyle="miter"/>
                    </v:shape>
                  </w:pict>
                </mc:Fallback>
              </mc:AlternateContent>
            </w:r>
          </w:p>
        </w:tc>
        <w:tc>
          <w:tcPr>
            <w:tcW w:w="1574"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監查盤點</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填寫財產</w:t>
            </w:r>
          </w:p>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roofErr w:type="gramStart"/>
            <w:r w:rsidRPr="00A765F2">
              <w:rPr>
                <w:rFonts w:cs="BiauKai"/>
                <w:color w:val="000000"/>
                <w:position w:val="-1"/>
              </w:rPr>
              <w:t>減損單</w:t>
            </w:r>
            <w:proofErr w:type="gramEnd"/>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處理</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Borders>
              <w:right w:val="single" w:sz="4" w:space="0" w:color="000000"/>
            </w:tcBorders>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會計室</w:t>
            </w:r>
          </w:p>
        </w:tc>
        <w:tc>
          <w:tcPr>
            <w:tcW w:w="1557"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69504" behindDoc="0" locked="0" layoutInCell="1" hidden="0" allowOverlap="1" wp14:anchorId="48F5AEF5" wp14:editId="1445CB6B">
                      <wp:simplePos x="0" y="0"/>
                      <wp:positionH relativeFrom="column">
                        <wp:posOffset>76201</wp:posOffset>
                      </wp:positionH>
                      <wp:positionV relativeFrom="paragraph">
                        <wp:posOffset>25400</wp:posOffset>
                      </wp:positionV>
                      <wp:extent cx="800100" cy="25400"/>
                      <wp:effectExtent l="0" t="0" r="0" b="0"/>
                      <wp:wrapNone/>
                      <wp:docPr id="15" name="直線單箭頭接點 15"/>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15" o:spid="_x0000_s1026" type="#_x0000_t32" style="position:absolute;margin-left:6pt;margin-top:2pt;width:63pt;height: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">
                      <v:stroke endarrow="block" joinstyle="miter"/>
                    </v:shape>
                  </w:pict>
                </mc:Fallback>
              </mc:AlternateContent>
            </w:r>
          </w:p>
        </w:tc>
        <w:tc>
          <w:tcPr>
            <w:tcW w:w="1581"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tc>
        <w:tc>
          <w:tcPr>
            <w:tcW w:w="1563" w:type="dxa"/>
            <w:tcBorders>
              <w:left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70528" behindDoc="0" locked="0" layoutInCell="1" hidden="0" allowOverlap="1" wp14:anchorId="54997640" wp14:editId="1E5A5FCD">
                      <wp:simplePos x="0" y="0"/>
                      <wp:positionH relativeFrom="column">
                        <wp:posOffset>25401</wp:posOffset>
                      </wp:positionH>
                      <wp:positionV relativeFrom="paragraph">
                        <wp:posOffset>25400</wp:posOffset>
                      </wp:positionV>
                      <wp:extent cx="914400" cy="25400"/>
                      <wp:effectExtent l="0" t="0" r="0" b="0"/>
                      <wp:wrapNone/>
                      <wp:docPr id="8" name="直線單箭頭接點 8"/>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8" o:spid="_x0000_s1026" type="#_x0000_t32" style="position:absolute;margin-left:2pt;margin-top:2pt;width:1in;height: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">
                      <v:stroke endarrow="block" joinstyle="miter"/>
                    </v:shape>
                  </w:pict>
                </mc:Fallback>
              </mc:AlternateContent>
            </w:r>
          </w:p>
        </w:tc>
        <w:tc>
          <w:tcPr>
            <w:tcW w:w="1635" w:type="dxa"/>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總務處</w:t>
            </w:r>
          </w:p>
        </w:tc>
        <w:tc>
          <w:tcPr>
            <w:tcW w:w="669"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71552" behindDoc="0" locked="0" layoutInCell="1" hidden="0" allowOverlap="1" wp14:anchorId="0C19FA31" wp14:editId="5B9FDE8D">
                      <wp:simplePos x="0" y="0"/>
                      <wp:positionH relativeFrom="column">
                        <wp:posOffset>50801</wp:posOffset>
                      </wp:positionH>
                      <wp:positionV relativeFrom="paragraph">
                        <wp:posOffset>38100</wp:posOffset>
                      </wp:positionV>
                      <wp:extent cx="342900" cy="12700"/>
                      <wp:effectExtent l="0" t="0" r="0" b="0"/>
                      <wp:wrapNone/>
                      <wp:docPr id="10" name="直線單箭頭接點 10"/>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10" o:spid="_x0000_s1026" type="#_x0000_t32" style="position:absolute;margin-left:4pt;margin-top:3pt;width:27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">
                      <v:stroke joinstyle="miter"/>
                    </v:shape>
                  </w:pict>
                </mc:Fallback>
              </mc:AlternateContent>
            </w:r>
            <w:r w:rsidRPr="00A765F2">
              <w:rPr>
                <w:rFonts w:cs="BiauKai"/>
                <w:noProof/>
                <w:color w:val="000000"/>
                <w:position w:val="-1"/>
              </w:rPr>
              <mc:AlternateContent>
                <mc:Choice Requires="wps">
                  <w:drawing>
                    <wp:anchor distT="0" distB="0" distL="114300" distR="114300" simplePos="0" relativeHeight="251672576" behindDoc="0" locked="0" layoutInCell="1" hidden="0" allowOverlap="1" wp14:anchorId="1F299C45" wp14:editId="1A5CBCC4">
                      <wp:simplePos x="0" y="0"/>
                      <wp:positionH relativeFrom="column">
                        <wp:posOffset>381000</wp:posOffset>
                      </wp:positionH>
                      <wp:positionV relativeFrom="paragraph">
                        <wp:posOffset>38100</wp:posOffset>
                      </wp:positionV>
                      <wp:extent cx="12700" cy="1600200"/>
                      <wp:effectExtent l="0" t="0" r="0" b="0"/>
                      <wp:wrapNone/>
                      <wp:docPr id="11" name="直線單箭頭接點 11"/>
                      <wp:cNvGraphicFramePr/>
                      <a:graphic xmlns:a="http://schemas.openxmlformats.org/drawingml/2006/main">
                        <a:graphicData uri="http://schemas.microsoft.com/office/word/2010/wordprocessingShape">
                          <wps:wsp>
                            <wps:cNvCnPr/>
                            <wps:spPr>
                              <a:xfrm>
                                <a:off x="5346000" y="2979900"/>
                                <a:ext cx="0" cy="1600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直線單箭頭接點 11" o:spid="_x0000_s1026" type="#_x0000_t32" style="position:absolute;margin-left:30pt;margin-top:3pt;width:1pt;height:12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">
                      <v:stroke joinstyle="miter"/>
                    </v:shape>
                  </w:pict>
                </mc:Fallback>
              </mc:AlternateContent>
            </w: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tcBorders>
              <w:bottom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tcBorders>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314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color w:val="000000"/>
                <w:position w:val="-1"/>
              </w:rPr>
              <w:t>變賣、利用、轉讓、銷毀</w:t>
            </w:r>
          </w:p>
        </w:tc>
        <w:tc>
          <w:tcPr>
            <w:tcW w:w="1635"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57" w:type="dxa"/>
            <w:tcBorders>
              <w:righ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3144" w:type="dxa"/>
            <w:gridSpan w:val="2"/>
            <w:vMerge/>
            <w:tcBorders>
              <w:top w:val="single" w:sz="4" w:space="0" w:color="000000"/>
              <w:left w:val="single" w:sz="4" w:space="0" w:color="000000"/>
              <w:bottom w:val="single" w:sz="4" w:space="0" w:color="000000"/>
              <w:right w:val="single" w:sz="4" w:space="0" w:color="000000"/>
            </w:tcBorders>
            <w:vAlign w:val="center"/>
          </w:tcPr>
          <w:p w:rsidR="00804511" w:rsidRPr="00A765F2" w:rsidRDefault="00804511" w:rsidP="001039E6">
            <w:pPr>
              <w:pBdr>
                <w:top w:val="nil"/>
                <w:left w:val="nil"/>
                <w:bottom w:val="nil"/>
                <w:right w:val="nil"/>
                <w:between w:val="nil"/>
              </w:pBdr>
              <w:suppressAutoHyphens/>
              <w:spacing w:line="276" w:lineRule="auto"/>
              <w:ind w:leftChars="-1" w:hangingChars="1" w:hanging="2"/>
              <w:textAlignment w:val="top"/>
              <w:outlineLvl w:val="0"/>
              <w:rPr>
                <w:rFonts w:cs="BiauKai"/>
                <w:color w:val="000000"/>
                <w:position w:val="-1"/>
              </w:rPr>
            </w:pPr>
          </w:p>
        </w:tc>
        <w:tc>
          <w:tcPr>
            <w:tcW w:w="1635" w:type="dxa"/>
            <w:tcBorders>
              <w:left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r w:rsidRPr="00A765F2">
              <w:rPr>
                <w:rFonts w:cs="BiauKai"/>
                <w:noProof/>
                <w:color w:val="000000"/>
                <w:position w:val="-1"/>
              </w:rPr>
              <mc:AlternateContent>
                <mc:Choice Requires="wps">
                  <w:drawing>
                    <wp:anchor distT="0" distB="0" distL="114300" distR="114300" simplePos="0" relativeHeight="251673600" behindDoc="0" locked="0" layoutInCell="1" hidden="0" allowOverlap="1" wp14:anchorId="72C2596E" wp14:editId="24EDD3F0">
                      <wp:simplePos x="0" y="0"/>
                      <wp:positionH relativeFrom="column">
                        <wp:posOffset>63501</wp:posOffset>
                      </wp:positionH>
                      <wp:positionV relativeFrom="paragraph">
                        <wp:posOffset>12700</wp:posOffset>
                      </wp:positionV>
                      <wp:extent cx="1371600" cy="25400"/>
                      <wp:effectExtent l="0" t="0" r="0" b="0"/>
                      <wp:wrapNone/>
                      <wp:docPr id="13" name="直線單箭頭接點 13"/>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直線單箭頭接點 13" o:spid="_x0000_s1026" type="#_x0000_t32" style="position:absolute;margin-left:5pt;margin-top:1pt;width:108pt;height:2pt;rotation:18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">
                      <v:stroke endarrow="block" joinstyle="miter"/>
                    </v:shape>
                  </w:pict>
                </mc:Fallback>
              </mc:AlternateContent>
            </w: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r w:rsidR="00804511" w:rsidRPr="00A765F2" w:rsidTr="001039E6">
        <w:trPr>
          <w:jc w:val="center"/>
        </w:trPr>
        <w:tc>
          <w:tcPr>
            <w:tcW w:w="809" w:type="dxa"/>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74" w:type="dxa"/>
            <w:vAlign w:val="center"/>
          </w:tcPr>
          <w:p w:rsidR="00804511" w:rsidRPr="00A765F2" w:rsidRDefault="00804511" w:rsidP="001039E6">
            <w:pPr>
              <w:pBdr>
                <w:top w:val="nil"/>
                <w:left w:val="nil"/>
                <w:bottom w:val="nil"/>
                <w:right w:val="nil"/>
                <w:between w:val="nil"/>
              </w:pBdr>
              <w:suppressAutoHyphens/>
              <w:textAlignment w:val="top"/>
              <w:outlineLvl w:val="0"/>
              <w:rPr>
                <w:rFonts w:cs="BiauKai"/>
                <w:color w:val="000000"/>
                <w:position w:val="-1"/>
              </w:rPr>
            </w:pPr>
          </w:p>
        </w:tc>
        <w:tc>
          <w:tcPr>
            <w:tcW w:w="1557"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81" w:type="dxa"/>
            <w:tcBorders>
              <w:top w:val="single" w:sz="4" w:space="0" w:color="000000"/>
            </w:tcBorders>
            <w:vAlign w:val="center"/>
          </w:tcPr>
          <w:p w:rsidR="00804511"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563" w:type="dxa"/>
            <w:tcBorders>
              <w:top w:val="single" w:sz="4" w:space="0" w:color="000000"/>
            </w:tcBorders>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1635"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c>
          <w:tcPr>
            <w:tcW w:w="669" w:type="dxa"/>
            <w:vAlign w:val="center"/>
          </w:tcPr>
          <w:p w:rsidR="00804511" w:rsidRPr="00A765F2" w:rsidRDefault="00804511" w:rsidP="001039E6">
            <w:pPr>
              <w:pBdr>
                <w:top w:val="nil"/>
                <w:left w:val="nil"/>
                <w:bottom w:val="nil"/>
                <w:right w:val="nil"/>
                <w:between w:val="nil"/>
              </w:pBdr>
              <w:suppressAutoHyphens/>
              <w:ind w:leftChars="-1" w:hangingChars="1" w:hanging="2"/>
              <w:jc w:val="center"/>
              <w:textAlignment w:val="top"/>
              <w:outlineLvl w:val="0"/>
              <w:rPr>
                <w:rFonts w:cs="BiauKai"/>
                <w:color w:val="000000"/>
                <w:position w:val="-1"/>
              </w:rPr>
            </w:pPr>
          </w:p>
        </w:tc>
      </w:tr>
    </w:tbl>
    <w:p w:rsidR="00804511" w:rsidRDefault="00804511" w:rsidP="00804511">
      <w:pPr>
        <w:pStyle w:val="a3"/>
        <w:ind w:leftChars="0"/>
        <w:rPr>
          <w:rFonts w:ascii="標楷體" w:eastAsia="標楷體" w:hAnsi="標楷體"/>
          <w:sz w:val="27"/>
          <w:szCs w:val="27"/>
        </w:rPr>
      </w:pPr>
    </w:p>
    <w:p w:rsidR="00804511" w:rsidRDefault="00804511" w:rsidP="00804511">
      <w:pPr>
        <w:pStyle w:val="a3"/>
        <w:ind w:leftChars="0"/>
        <w:rPr>
          <w:rFonts w:ascii="標楷體" w:eastAsia="標楷體" w:hAnsi="標楷體"/>
          <w:sz w:val="27"/>
          <w:szCs w:val="27"/>
        </w:rPr>
      </w:pPr>
    </w:p>
    <w:p w:rsidR="005D02B4" w:rsidRPr="00804511" w:rsidRDefault="005D02B4"/>
    <w:sectPr w:rsidR="005D02B4" w:rsidRPr="00804511" w:rsidSect="00804511">
      <w:pgSz w:w="11906" w:h="16838"/>
      <w:pgMar w:top="397" w:right="720" w:bottom="828"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ingLiu">
    <w:altName w:val="Times New Roman"/>
    <w:charset w:val="00"/>
    <w:family w:val="auto"/>
    <w:pitch w:val="default"/>
  </w:font>
  <w:font w:name="BiauKai">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615E"/>
    <w:multiLevelType w:val="hybridMultilevel"/>
    <w:tmpl w:val="6EBECA6C"/>
    <w:lvl w:ilvl="0" w:tplc="8BE2E108">
      <w:start w:val="1"/>
      <w:numFmt w:val="taiwaneseCountingThousand"/>
      <w:lvlText w:val="%1、"/>
      <w:lvlJc w:val="left"/>
      <w:pPr>
        <w:ind w:left="418" w:hanging="4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11"/>
    <w:rsid w:val="005D02B4"/>
    <w:rsid w:val="00804511"/>
    <w:rsid w:val="00964D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511"/>
    <w:pPr>
      <w:ind w:leftChars="200" w:left="480"/>
    </w:pPr>
  </w:style>
  <w:style w:type="paragraph" w:styleId="a4">
    <w:name w:val="Balloon Text"/>
    <w:basedOn w:val="a"/>
    <w:link w:val="a5"/>
    <w:uiPriority w:val="99"/>
    <w:semiHidden/>
    <w:unhideWhenUsed/>
    <w:rsid w:val="00964D6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64D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511"/>
    <w:pPr>
      <w:ind w:leftChars="200" w:left="480"/>
    </w:pPr>
  </w:style>
  <w:style w:type="paragraph" w:styleId="a4">
    <w:name w:val="Balloon Text"/>
    <w:basedOn w:val="a"/>
    <w:link w:val="a5"/>
    <w:uiPriority w:val="99"/>
    <w:semiHidden/>
    <w:unhideWhenUsed/>
    <w:rsid w:val="00964D6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64D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dc:creator>
  <cp:lastModifiedBy>cfs</cp:lastModifiedBy>
  <cp:revision>1</cp:revision>
  <cp:lastPrinted>2019-09-02T07:12:00Z</cp:lastPrinted>
  <dcterms:created xsi:type="dcterms:W3CDTF">2019-09-02T06:51:00Z</dcterms:created>
  <dcterms:modified xsi:type="dcterms:W3CDTF">2019-09-02T07:13:00Z</dcterms:modified>
</cp:coreProperties>
</file>