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8A1" w:rsidRPr="0006430C" w:rsidRDefault="009528A1" w:rsidP="009528A1">
      <w:pPr>
        <w:jc w:val="center"/>
        <w:rPr>
          <w:rFonts w:ascii="標楷體" w:eastAsia="標楷體" w:hAnsi="標楷體" w:cs="BiauKai"/>
          <w:sz w:val="32"/>
          <w:szCs w:val="32"/>
        </w:rPr>
      </w:pPr>
      <w:r w:rsidRPr="0006430C">
        <w:rPr>
          <w:rFonts w:ascii="標楷體" w:eastAsia="標楷體" w:hAnsi="標楷體" w:cs="BiauKai"/>
          <w:sz w:val="32"/>
          <w:szCs w:val="32"/>
        </w:rPr>
        <w:t>高雄縣私立旗美高級商工職業學校出差旅費報支要點</w:t>
      </w:r>
    </w:p>
    <w:p w:rsidR="009528A1" w:rsidRPr="0006430C" w:rsidRDefault="009528A1" w:rsidP="009528A1">
      <w:pPr>
        <w:spacing w:beforeLines="50" w:before="180" w:afterLines="50" w:after="180"/>
        <w:jc w:val="right"/>
        <w:rPr>
          <w:rFonts w:ascii="標楷體" w:eastAsia="標楷體" w:hAnsi="標楷體" w:cs="BiauKai"/>
          <w:sz w:val="20"/>
          <w:szCs w:val="20"/>
        </w:rPr>
      </w:pPr>
      <w:r w:rsidRPr="0006430C">
        <w:rPr>
          <w:rFonts w:ascii="標楷體" w:eastAsia="標楷體" w:hAnsi="標楷體" w:cs="BiauKai"/>
          <w:sz w:val="20"/>
          <w:szCs w:val="20"/>
        </w:rPr>
        <w:t>108 年 8月30日</w:t>
      </w:r>
      <w:r w:rsidRPr="0006430C">
        <w:rPr>
          <w:rFonts w:ascii="標楷體" w:eastAsia="標楷體" w:hAnsi="標楷體" w:cs="BiauKai" w:hint="eastAsia"/>
          <w:sz w:val="20"/>
          <w:szCs w:val="20"/>
        </w:rPr>
        <w:t>108學年度第1學期</w:t>
      </w:r>
      <w:proofErr w:type="gramStart"/>
      <w:r w:rsidRPr="0006430C">
        <w:rPr>
          <w:rFonts w:ascii="標楷體" w:eastAsia="標楷體" w:hAnsi="標楷體" w:cs="BiauKai" w:hint="eastAsia"/>
          <w:sz w:val="20"/>
          <w:szCs w:val="20"/>
        </w:rPr>
        <w:t>期</w:t>
      </w:r>
      <w:proofErr w:type="gramEnd"/>
      <w:r w:rsidRPr="0006430C">
        <w:rPr>
          <w:rFonts w:ascii="標楷體" w:eastAsia="標楷體" w:hAnsi="標楷體" w:cs="BiauKai" w:hint="eastAsia"/>
          <w:sz w:val="20"/>
          <w:szCs w:val="20"/>
        </w:rPr>
        <w:t>初校務會議</w:t>
      </w:r>
      <w:r w:rsidRPr="0006430C">
        <w:rPr>
          <w:rFonts w:ascii="標楷體" w:eastAsia="標楷體" w:hAnsi="標楷體" w:cs="BiauKai"/>
          <w:sz w:val="20"/>
          <w:szCs w:val="20"/>
        </w:rPr>
        <w:t>修訂通過</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一、高雄縣私立旗美高級商工職業學校教職員工，</w:t>
      </w:r>
      <w:proofErr w:type="gramStart"/>
      <w:r w:rsidRPr="0006430C">
        <w:rPr>
          <w:rFonts w:ascii="標楷體" w:eastAsia="標楷體" w:hAnsi="標楷體" w:cs="BiauKai"/>
        </w:rPr>
        <w:t>因公奉派</w:t>
      </w:r>
      <w:proofErr w:type="gramEnd"/>
      <w:r w:rsidRPr="0006430C">
        <w:rPr>
          <w:rFonts w:ascii="標楷體" w:eastAsia="標楷體" w:hAnsi="標楷體" w:cs="BiauKai"/>
        </w:rPr>
        <w:t>出差報支旅費，依本要點辦理。</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二、旅費分為交通費、住宿費，因私校經費有限，出差人員依任職之職務報支，</w:t>
      </w:r>
      <w:proofErr w:type="gramStart"/>
      <w:r w:rsidRPr="0006430C">
        <w:rPr>
          <w:rFonts w:ascii="標楷體" w:eastAsia="標楷體" w:hAnsi="標楷體" w:cs="BiauKai"/>
        </w:rPr>
        <w:t>其報支</w:t>
      </w:r>
      <w:proofErr w:type="gramEnd"/>
      <w:r w:rsidRPr="0006430C">
        <w:rPr>
          <w:rFonts w:ascii="標楷體" w:eastAsia="標楷體" w:hAnsi="標楷體" w:cs="BiauKai"/>
        </w:rPr>
        <w:t>數額如附表</w:t>
      </w:r>
      <w:proofErr w:type="gramStart"/>
      <w:r w:rsidRPr="0006430C">
        <w:rPr>
          <w:rFonts w:ascii="標楷體" w:eastAsia="標楷體" w:hAnsi="標楷體" w:cs="BiauKai"/>
        </w:rPr>
        <w:t>一</w:t>
      </w:r>
      <w:proofErr w:type="gramEnd"/>
      <w:r w:rsidRPr="0006430C">
        <w:rPr>
          <w:rFonts w:ascii="標楷體" w:eastAsia="標楷體" w:hAnsi="標楷體" w:cs="BiauKai"/>
        </w:rPr>
        <w:t xml:space="preserve">。 </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 xml:space="preserve">三、對公差之派遣，應視公務性質及事實需要詳加審核決定，如利用公文、電話、傳真或電子郵件等通訊工具可資處理者，不得派遣公差；如因公務必要需求時，經校長核定則不在此限。出差人員應依公文辦理請假，出差期間及行程應視事實之需要，事先經校長核定，並儘量利用便捷之交通工具縮短行程；往返行程，以不超過一日為原則。 </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四、出差地點距離機關所在地</w:t>
      </w:r>
      <w:proofErr w:type="gramStart"/>
      <w:r w:rsidRPr="0006430C">
        <w:rPr>
          <w:rFonts w:ascii="標楷體" w:eastAsia="標楷體" w:hAnsi="標楷體" w:cs="BiauKai"/>
        </w:rPr>
        <w:t>廿</w:t>
      </w:r>
      <w:proofErr w:type="gramEnd"/>
      <w:r w:rsidRPr="0006430C">
        <w:rPr>
          <w:rFonts w:ascii="標楷體" w:eastAsia="標楷體" w:hAnsi="標楷體" w:cs="BiauKai"/>
        </w:rPr>
        <w:t>五公里以上者方得報支出差旅費，出差事畢，應於</w:t>
      </w:r>
      <w:proofErr w:type="gramStart"/>
      <w:r w:rsidRPr="0006430C">
        <w:rPr>
          <w:rFonts w:ascii="標楷體" w:eastAsia="標楷體" w:hAnsi="標楷體" w:cs="BiauKai"/>
        </w:rPr>
        <w:t>一週</w:t>
      </w:r>
      <w:proofErr w:type="gramEnd"/>
      <w:r w:rsidRPr="0006430C">
        <w:rPr>
          <w:rFonts w:ascii="標楷體" w:eastAsia="標楷體" w:hAnsi="標楷體" w:cs="BiauKai"/>
        </w:rPr>
        <w:t xml:space="preserve">內檢具出差旅費報告表，連同有關書據，一併報請人事室及會計室審核並送校長簽核後繳至出納組作請款作業。 </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五、交通費包括行程中必須搭乘之飛機、高鐵、汽車、火車、捷運、輪船等費用，</w:t>
      </w:r>
      <w:proofErr w:type="gramStart"/>
      <w:r w:rsidRPr="0006430C">
        <w:rPr>
          <w:rFonts w:ascii="標楷體" w:eastAsia="標楷體" w:hAnsi="標楷體" w:cs="BiauKai"/>
        </w:rPr>
        <w:t>均按實</w:t>
      </w:r>
      <w:proofErr w:type="gramEnd"/>
      <w:r w:rsidRPr="0006430C">
        <w:rPr>
          <w:rFonts w:ascii="標楷體" w:eastAsia="標楷體" w:hAnsi="標楷體" w:cs="BiauKai"/>
        </w:rPr>
        <w:t>報支（應檢附票根或購票證明文件），搭乘飛機者並須檢附登機證存根；領有優待票而仍</w:t>
      </w:r>
      <w:proofErr w:type="gramStart"/>
      <w:r w:rsidRPr="0006430C">
        <w:rPr>
          <w:rFonts w:ascii="標楷體" w:eastAsia="標楷體" w:hAnsi="標楷體" w:cs="BiauKai"/>
        </w:rPr>
        <w:t>需全價者</w:t>
      </w:r>
      <w:proofErr w:type="gramEnd"/>
      <w:r w:rsidRPr="0006430C">
        <w:rPr>
          <w:rFonts w:ascii="標楷體" w:eastAsia="標楷體" w:hAnsi="標楷體" w:cs="BiauKai"/>
        </w:rPr>
        <w:t>，補給差價。但開會機關或</w:t>
      </w:r>
      <w:proofErr w:type="gramStart"/>
      <w:r w:rsidRPr="0006430C">
        <w:rPr>
          <w:rFonts w:ascii="標楷體" w:eastAsia="標楷體" w:hAnsi="標楷體" w:cs="BiauKai"/>
        </w:rPr>
        <w:t>學校專備交通工具</w:t>
      </w:r>
      <w:proofErr w:type="gramEnd"/>
      <w:r w:rsidRPr="0006430C">
        <w:rPr>
          <w:rFonts w:ascii="標楷體" w:eastAsia="標楷體" w:hAnsi="標楷體" w:cs="BiauKai"/>
        </w:rPr>
        <w:t>或領有免費票者，不得報支。</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 xml:space="preserve">    前項所稱汽車，係指公民營客運汽車。凡公民營汽車到達地區，除因急要公務者外，其搭乘計程車之費用，不得報支。如因業務需要或出差地點特殊，駕駛自用汽（機）車者，其交通費</w:t>
      </w:r>
      <w:proofErr w:type="gramStart"/>
      <w:r w:rsidRPr="0006430C">
        <w:rPr>
          <w:rFonts w:ascii="標楷體" w:eastAsia="標楷體" w:hAnsi="標楷體" w:cs="BiauKai"/>
        </w:rPr>
        <w:t>得按同路段</w:t>
      </w:r>
      <w:proofErr w:type="gramEnd"/>
      <w:r w:rsidRPr="0006430C">
        <w:rPr>
          <w:rFonts w:ascii="標楷體" w:eastAsia="標楷體" w:hAnsi="標楷體" w:cs="BiauKai"/>
        </w:rPr>
        <w:t>火車及公民營客運汽車之票價報支（得</w:t>
      </w:r>
      <w:proofErr w:type="gramStart"/>
      <w:r w:rsidRPr="0006430C">
        <w:rPr>
          <w:rFonts w:ascii="標楷體" w:eastAsia="標楷體" w:hAnsi="標楷體" w:cs="BiauKai"/>
        </w:rPr>
        <w:t>不</w:t>
      </w:r>
      <w:proofErr w:type="gramEnd"/>
      <w:r w:rsidRPr="0006430C">
        <w:rPr>
          <w:rFonts w:ascii="標楷體" w:eastAsia="標楷體" w:hAnsi="標楷體" w:cs="BiauKai"/>
        </w:rPr>
        <w:t>檢附票根或購票證明文件）。但不得另行報支油料、過路（橋）、停車等費用；如發生事故，不得以公款支付修理費用及對第三者之損害賠償。學生代表學校參加研習活動、表演活動及比賽時，以報支火車莒光號為主，如特殊情形需求時，則應專案呈請校長簽核。</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六、凡陪同外賓出差者，其交通費按外賓所搭乘之交通工具按實報支，其住宿費得</w:t>
      </w:r>
      <w:proofErr w:type="gramStart"/>
      <w:r w:rsidRPr="0006430C">
        <w:rPr>
          <w:rFonts w:ascii="標楷體" w:eastAsia="標楷體" w:hAnsi="標楷體" w:cs="BiauKai"/>
        </w:rPr>
        <w:t>就所宿旅館</w:t>
      </w:r>
      <w:proofErr w:type="gramEnd"/>
      <w:r w:rsidRPr="0006430C">
        <w:rPr>
          <w:rFonts w:ascii="標楷體" w:eastAsia="標楷體" w:hAnsi="標楷體" w:cs="BiauKai"/>
        </w:rPr>
        <w:t xml:space="preserve">之統一發票或收據，按實報支。 </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 xml:space="preserve">七、出差地點距離機關所在地嘉義(含)以上方可搭乘高鐵。 </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 xml:space="preserve">八、出差地點距離機關所在地嘉義(含)以上，且有在出差地區住宿事實者，得在附表一所列各該職務等級規定標準數額內，檢據核實列報住宿費；出差地點距離機關所在地未達嘉義或東部地區，因業務需要，事前經機關核准，且有在出差地區住宿事實者，始可報支住宿費。 </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九、旅費應按出差必經之順路計算之。但有特殊情形無法順路，並經機關核准者，所增加之費用得</w:t>
      </w:r>
      <w:proofErr w:type="gramStart"/>
      <w:r w:rsidRPr="0006430C">
        <w:rPr>
          <w:rFonts w:ascii="標楷體" w:eastAsia="標楷體" w:hAnsi="標楷體" w:cs="BiauKai"/>
        </w:rPr>
        <w:t>予報</w:t>
      </w:r>
      <w:proofErr w:type="gramEnd"/>
      <w:r w:rsidRPr="0006430C">
        <w:rPr>
          <w:rFonts w:ascii="標楷體" w:eastAsia="標楷體" w:hAnsi="標楷體" w:cs="BiauKai"/>
        </w:rPr>
        <w:t>支。</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十、旅費自起程日起</w:t>
      </w:r>
      <w:proofErr w:type="gramStart"/>
      <w:r w:rsidRPr="0006430C">
        <w:rPr>
          <w:rFonts w:ascii="標楷體" w:eastAsia="標楷體" w:hAnsi="標楷體" w:cs="BiauKai"/>
        </w:rPr>
        <w:t>至差竣日</w:t>
      </w:r>
      <w:proofErr w:type="gramEnd"/>
      <w:r w:rsidRPr="0006430C">
        <w:rPr>
          <w:rFonts w:ascii="標楷體" w:eastAsia="標楷體" w:hAnsi="標楷體" w:cs="BiauKai"/>
        </w:rPr>
        <w:t>止，除患病及因事故阻滯，具有確實證明按日計算外，其因私事請假者，不得報支。前項所稱患病，以突發之重病，經醫院證明必</w:t>
      </w:r>
      <w:proofErr w:type="gramStart"/>
      <w:r w:rsidRPr="0006430C">
        <w:rPr>
          <w:rFonts w:ascii="標楷體" w:eastAsia="標楷體" w:hAnsi="標楷體" w:cs="BiauKai"/>
        </w:rPr>
        <w:t>頇</w:t>
      </w:r>
      <w:proofErr w:type="gramEnd"/>
      <w:r w:rsidRPr="0006430C">
        <w:rPr>
          <w:rFonts w:ascii="標楷體" w:eastAsia="標楷體" w:hAnsi="標楷體" w:cs="BiauKai"/>
        </w:rPr>
        <w:t>住院治療，且不宜返回原駐地醫治者為限；在患病住院</w:t>
      </w:r>
      <w:proofErr w:type="gramStart"/>
      <w:r w:rsidRPr="0006430C">
        <w:rPr>
          <w:rFonts w:ascii="標楷體" w:eastAsia="標楷體" w:hAnsi="標楷體" w:cs="BiauKai"/>
        </w:rPr>
        <w:t>期間，</w:t>
      </w:r>
      <w:proofErr w:type="gramEnd"/>
      <w:r w:rsidRPr="0006430C">
        <w:rPr>
          <w:rFonts w:ascii="標楷體" w:eastAsia="標楷體" w:hAnsi="標楷體" w:cs="BiauKai"/>
        </w:rPr>
        <w:t>得自住院之日起，按日報支膳費，最高報支十日。</w:t>
      </w:r>
    </w:p>
    <w:p w:rsidR="009528A1" w:rsidRPr="0006430C" w:rsidRDefault="009528A1" w:rsidP="009528A1">
      <w:pPr>
        <w:spacing w:before="120"/>
        <w:ind w:left="720" w:hanging="720"/>
        <w:rPr>
          <w:rFonts w:ascii="標楷體" w:eastAsia="標楷體" w:hAnsi="標楷體" w:cs="BiauKai"/>
        </w:rPr>
      </w:pPr>
      <w:r w:rsidRPr="0006430C">
        <w:rPr>
          <w:rFonts w:ascii="標楷體" w:eastAsia="標楷體" w:hAnsi="標楷體" w:cs="BiauKai"/>
        </w:rPr>
        <w:t>十一、出差期中有免職或撤職時，依其已到達地點，按原定職務等級報支往返旅費；出差人員</w:t>
      </w:r>
      <w:r w:rsidRPr="0006430C">
        <w:rPr>
          <w:rFonts w:ascii="標楷體" w:eastAsia="標楷體" w:hAnsi="標楷體" w:cs="BiauKai"/>
        </w:rPr>
        <w:lastRenderedPageBreak/>
        <w:t>經法院判有刑責者，於其不能執行差</w:t>
      </w:r>
      <w:proofErr w:type="gramStart"/>
      <w:r w:rsidRPr="0006430C">
        <w:rPr>
          <w:rFonts w:ascii="標楷體" w:eastAsia="標楷體" w:hAnsi="標楷體" w:cs="BiauKai"/>
        </w:rPr>
        <w:t>務</w:t>
      </w:r>
      <w:proofErr w:type="gramEnd"/>
      <w:r w:rsidRPr="0006430C">
        <w:rPr>
          <w:rFonts w:ascii="標楷體" w:eastAsia="標楷體" w:hAnsi="標楷體" w:cs="BiauKai"/>
        </w:rPr>
        <w:t>之日起，停止其旅費。</w:t>
      </w:r>
    </w:p>
    <w:p w:rsidR="009528A1" w:rsidRPr="0006430C" w:rsidRDefault="009528A1" w:rsidP="009528A1">
      <w:pPr>
        <w:spacing w:before="120"/>
        <w:ind w:left="720" w:hanging="720"/>
        <w:rPr>
          <w:rFonts w:ascii="標楷體" w:eastAsia="標楷體" w:hAnsi="標楷體" w:cs="BiauKai"/>
        </w:rPr>
      </w:pPr>
      <w:r w:rsidRPr="0006430C">
        <w:rPr>
          <w:rFonts w:ascii="標楷體" w:eastAsia="標楷體" w:hAnsi="標楷體" w:cs="BiauKai"/>
        </w:rPr>
        <w:t>十二、</w:t>
      </w:r>
      <w:proofErr w:type="gramStart"/>
      <w:r w:rsidRPr="0006430C">
        <w:rPr>
          <w:rFonts w:ascii="標楷體" w:eastAsia="標楷體" w:hAnsi="標楷體" w:cs="BiauKai"/>
        </w:rPr>
        <w:t>出差或奉派</w:t>
      </w:r>
      <w:proofErr w:type="gramEnd"/>
      <w:r w:rsidRPr="0006430C">
        <w:rPr>
          <w:rFonts w:ascii="標楷體" w:eastAsia="標楷體" w:hAnsi="標楷體" w:cs="BiauKai"/>
        </w:rPr>
        <w:t>至國外各地區，其出差旅費之報支，依行政院頒布之國外出差旅費報支要點實施。</w:t>
      </w:r>
    </w:p>
    <w:p w:rsidR="009528A1" w:rsidRPr="0006430C" w:rsidRDefault="009528A1" w:rsidP="009528A1">
      <w:pPr>
        <w:spacing w:before="120"/>
        <w:ind w:left="720" w:hanging="720"/>
        <w:rPr>
          <w:rFonts w:ascii="標楷體" w:eastAsia="標楷體" w:hAnsi="標楷體" w:cs="BiauKai"/>
        </w:rPr>
      </w:pPr>
      <w:r w:rsidRPr="0006430C">
        <w:rPr>
          <w:rFonts w:ascii="標楷體" w:eastAsia="標楷體" w:hAnsi="標楷體" w:cs="BiauKai"/>
        </w:rPr>
        <w:t>十三、本出差報支要點適用本校董事會之董事長、董事及監察人。</w:t>
      </w:r>
    </w:p>
    <w:p w:rsidR="009528A1" w:rsidRPr="0006430C" w:rsidRDefault="009528A1" w:rsidP="009528A1">
      <w:pPr>
        <w:spacing w:before="120"/>
        <w:ind w:left="720" w:hanging="720"/>
        <w:rPr>
          <w:rFonts w:ascii="標楷體" w:eastAsia="標楷體" w:hAnsi="標楷體" w:cs="BiauKai"/>
        </w:rPr>
      </w:pPr>
      <w:r w:rsidRPr="0006430C">
        <w:rPr>
          <w:rFonts w:ascii="標楷體" w:eastAsia="標楷體" w:hAnsi="標楷體" w:cs="BiauKai"/>
        </w:rPr>
        <w:t>十四、本辦法經校務會議修正通過，呈請校長後實施。</w:t>
      </w:r>
    </w:p>
    <w:p w:rsidR="009528A1" w:rsidRPr="0006430C" w:rsidRDefault="009528A1" w:rsidP="009528A1">
      <w:pPr>
        <w:spacing w:before="120"/>
        <w:ind w:left="480" w:hanging="480"/>
        <w:rPr>
          <w:rFonts w:ascii="標楷體" w:eastAsia="標楷體" w:hAnsi="標楷體" w:cs="BiauKai"/>
        </w:rPr>
      </w:pPr>
      <w:bookmarkStart w:id="0" w:name="_GoBack"/>
      <w:bookmarkEnd w:id="0"/>
      <w:r w:rsidRPr="0006430C">
        <w:rPr>
          <w:rFonts w:ascii="標楷體" w:eastAsia="標楷體" w:hAnsi="標楷體" w:cs="BiauKai"/>
        </w:rPr>
        <w:t>附表一   高雄縣私立旗美高級商工職業學校出差旅費報支數額表</w:t>
      </w:r>
    </w:p>
    <w:p w:rsidR="009528A1" w:rsidRPr="0006430C" w:rsidRDefault="009528A1" w:rsidP="009528A1">
      <w:pPr>
        <w:spacing w:before="120"/>
        <w:ind w:left="480" w:hanging="480"/>
        <w:jc w:val="right"/>
        <w:rPr>
          <w:rFonts w:ascii="標楷體" w:eastAsia="標楷體" w:hAnsi="標楷體" w:cs="BiauKai"/>
        </w:rPr>
      </w:pPr>
      <w:r w:rsidRPr="0006430C">
        <w:rPr>
          <w:rFonts w:ascii="標楷體" w:eastAsia="標楷體" w:hAnsi="標楷體" w:cs="BiauKai"/>
        </w:rPr>
        <w:t xml:space="preserve"> 單位：元</w:t>
      </w:r>
    </w:p>
    <w:tbl>
      <w:tblPr>
        <w:tblW w:w="9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
        <w:gridCol w:w="862"/>
        <w:gridCol w:w="2911"/>
        <w:gridCol w:w="992"/>
        <w:gridCol w:w="992"/>
        <w:gridCol w:w="1232"/>
        <w:gridCol w:w="1036"/>
        <w:gridCol w:w="967"/>
      </w:tblGrid>
      <w:tr w:rsidR="009528A1" w:rsidRPr="0006430C" w:rsidTr="001039E6">
        <w:trPr>
          <w:jc w:val="center"/>
        </w:trPr>
        <w:tc>
          <w:tcPr>
            <w:tcW w:w="1352" w:type="dxa"/>
            <w:gridSpan w:val="2"/>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職稱</w:t>
            </w:r>
          </w:p>
        </w:tc>
        <w:tc>
          <w:tcPr>
            <w:tcW w:w="2911"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特任級人員(董事 長、董事、監察人、 校長)</w:t>
            </w:r>
          </w:p>
        </w:tc>
        <w:tc>
          <w:tcPr>
            <w:tcW w:w="992"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主任</w:t>
            </w:r>
          </w:p>
        </w:tc>
        <w:tc>
          <w:tcPr>
            <w:tcW w:w="992"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組長</w:t>
            </w:r>
          </w:p>
        </w:tc>
        <w:tc>
          <w:tcPr>
            <w:tcW w:w="123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教師/職員/ 教官</w:t>
            </w:r>
          </w:p>
        </w:tc>
        <w:tc>
          <w:tcPr>
            <w:tcW w:w="1036"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學生</w:t>
            </w:r>
          </w:p>
        </w:tc>
        <w:tc>
          <w:tcPr>
            <w:tcW w:w="967"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備註</w:t>
            </w:r>
          </w:p>
        </w:tc>
      </w:tr>
      <w:tr w:rsidR="009528A1" w:rsidRPr="0006430C" w:rsidTr="001039E6">
        <w:trPr>
          <w:jc w:val="center"/>
        </w:trPr>
        <w:tc>
          <w:tcPr>
            <w:tcW w:w="1352" w:type="dxa"/>
            <w:gridSpan w:val="2"/>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車種</w:t>
            </w:r>
          </w:p>
        </w:tc>
        <w:tc>
          <w:tcPr>
            <w:tcW w:w="6127" w:type="dxa"/>
            <w:gridSpan w:val="4"/>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 xml:space="preserve">搭乘飛機、高鐵者董事長、董事及校長得搭乘商 </w:t>
            </w:r>
            <w:proofErr w:type="gramStart"/>
            <w:r w:rsidRPr="0006430C">
              <w:rPr>
                <w:rFonts w:ascii="標楷體" w:eastAsia="標楷體" w:hAnsi="標楷體" w:cs="BiauKai"/>
              </w:rPr>
              <w:t>務</w:t>
            </w:r>
            <w:proofErr w:type="gramEnd"/>
            <w:r w:rsidRPr="0006430C">
              <w:rPr>
                <w:rFonts w:ascii="標楷體" w:eastAsia="標楷體" w:hAnsi="標楷體" w:cs="BiauKai"/>
              </w:rPr>
              <w:t xml:space="preserve">艙或相同之座位，其餘人員搭乘經濟座(艙)位， </w:t>
            </w:r>
            <w:proofErr w:type="gramStart"/>
            <w:r w:rsidRPr="0006430C">
              <w:rPr>
                <w:rFonts w:ascii="標楷體" w:eastAsia="標楷體" w:hAnsi="標楷體" w:cs="BiauKai"/>
              </w:rPr>
              <w:t>並均應檢</w:t>
            </w:r>
            <w:proofErr w:type="gramEnd"/>
            <w:r w:rsidRPr="0006430C">
              <w:rPr>
                <w:rFonts w:ascii="標楷體" w:eastAsia="標楷體" w:hAnsi="標楷體" w:cs="BiauKai"/>
              </w:rPr>
              <w:t>具核實列支。 其餘交通工具，不分等次按實開支。</w:t>
            </w:r>
          </w:p>
        </w:tc>
        <w:tc>
          <w:tcPr>
            <w:tcW w:w="1036"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莒光號</w:t>
            </w:r>
          </w:p>
        </w:tc>
        <w:tc>
          <w:tcPr>
            <w:tcW w:w="967" w:type="dxa"/>
          </w:tcPr>
          <w:p w:rsidR="009528A1" w:rsidRPr="0006430C" w:rsidRDefault="009528A1" w:rsidP="001039E6">
            <w:pPr>
              <w:jc w:val="center"/>
              <w:rPr>
                <w:rFonts w:ascii="標楷體" w:eastAsia="標楷體" w:hAnsi="標楷體" w:cs="BiauKai"/>
              </w:rPr>
            </w:pPr>
          </w:p>
        </w:tc>
      </w:tr>
      <w:tr w:rsidR="009528A1" w:rsidRPr="0006430C" w:rsidTr="001039E6">
        <w:trPr>
          <w:trHeight w:val="240"/>
          <w:jc w:val="center"/>
        </w:trPr>
        <w:tc>
          <w:tcPr>
            <w:tcW w:w="490" w:type="dxa"/>
            <w:vMerge w:val="restart"/>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住宿</w:t>
            </w:r>
          </w:p>
        </w:tc>
        <w:tc>
          <w:tcPr>
            <w:tcW w:w="862"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北</w:t>
            </w:r>
          </w:p>
        </w:tc>
        <w:tc>
          <w:tcPr>
            <w:tcW w:w="2911"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2,200</w:t>
            </w:r>
          </w:p>
        </w:tc>
        <w:tc>
          <w:tcPr>
            <w:tcW w:w="99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2,000</w:t>
            </w:r>
          </w:p>
        </w:tc>
        <w:tc>
          <w:tcPr>
            <w:tcW w:w="99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2,000</w:t>
            </w:r>
          </w:p>
        </w:tc>
        <w:tc>
          <w:tcPr>
            <w:tcW w:w="123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1,800</w:t>
            </w:r>
          </w:p>
        </w:tc>
        <w:tc>
          <w:tcPr>
            <w:tcW w:w="1036"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800</w:t>
            </w:r>
          </w:p>
        </w:tc>
        <w:tc>
          <w:tcPr>
            <w:tcW w:w="967" w:type="dxa"/>
          </w:tcPr>
          <w:p w:rsidR="009528A1" w:rsidRPr="0006430C" w:rsidRDefault="009528A1" w:rsidP="001039E6">
            <w:pPr>
              <w:jc w:val="center"/>
              <w:rPr>
                <w:rFonts w:ascii="標楷體" w:eastAsia="標楷體" w:hAnsi="標楷體" w:cs="BiauKai"/>
              </w:rPr>
            </w:pPr>
          </w:p>
        </w:tc>
      </w:tr>
      <w:tr w:rsidR="009528A1" w:rsidRPr="0006430C" w:rsidTr="001039E6">
        <w:trPr>
          <w:trHeight w:val="280"/>
          <w:jc w:val="center"/>
        </w:trPr>
        <w:tc>
          <w:tcPr>
            <w:tcW w:w="490" w:type="dxa"/>
            <w:vMerge/>
            <w:vAlign w:val="center"/>
          </w:tcPr>
          <w:p w:rsidR="009528A1" w:rsidRPr="0006430C" w:rsidRDefault="009528A1" w:rsidP="001039E6">
            <w:pPr>
              <w:pBdr>
                <w:top w:val="nil"/>
                <w:left w:val="nil"/>
                <w:bottom w:val="nil"/>
                <w:right w:val="nil"/>
                <w:between w:val="nil"/>
              </w:pBdr>
              <w:spacing w:line="276" w:lineRule="auto"/>
              <w:rPr>
                <w:rFonts w:ascii="標楷體" w:eastAsia="標楷體" w:hAnsi="標楷體" w:cs="BiauKai"/>
              </w:rPr>
            </w:pPr>
          </w:p>
        </w:tc>
        <w:tc>
          <w:tcPr>
            <w:tcW w:w="862"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中</w:t>
            </w:r>
          </w:p>
        </w:tc>
        <w:tc>
          <w:tcPr>
            <w:tcW w:w="2911"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2,000</w:t>
            </w:r>
          </w:p>
        </w:tc>
        <w:tc>
          <w:tcPr>
            <w:tcW w:w="99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1,800</w:t>
            </w:r>
          </w:p>
        </w:tc>
        <w:tc>
          <w:tcPr>
            <w:tcW w:w="99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1,800</w:t>
            </w:r>
          </w:p>
        </w:tc>
        <w:tc>
          <w:tcPr>
            <w:tcW w:w="123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1,600</w:t>
            </w:r>
          </w:p>
        </w:tc>
        <w:tc>
          <w:tcPr>
            <w:tcW w:w="1036"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750</w:t>
            </w:r>
          </w:p>
        </w:tc>
        <w:tc>
          <w:tcPr>
            <w:tcW w:w="967" w:type="dxa"/>
          </w:tcPr>
          <w:p w:rsidR="009528A1" w:rsidRPr="0006430C" w:rsidRDefault="009528A1" w:rsidP="001039E6">
            <w:pPr>
              <w:jc w:val="center"/>
              <w:rPr>
                <w:rFonts w:ascii="標楷體" w:eastAsia="標楷體" w:hAnsi="標楷體" w:cs="BiauKai"/>
              </w:rPr>
            </w:pPr>
          </w:p>
        </w:tc>
      </w:tr>
      <w:tr w:rsidR="009528A1" w:rsidRPr="0006430C" w:rsidTr="001039E6">
        <w:trPr>
          <w:trHeight w:val="260"/>
          <w:jc w:val="center"/>
        </w:trPr>
        <w:tc>
          <w:tcPr>
            <w:tcW w:w="490" w:type="dxa"/>
            <w:vMerge/>
            <w:vAlign w:val="center"/>
          </w:tcPr>
          <w:p w:rsidR="009528A1" w:rsidRPr="0006430C" w:rsidRDefault="009528A1" w:rsidP="001039E6">
            <w:pPr>
              <w:pBdr>
                <w:top w:val="nil"/>
                <w:left w:val="nil"/>
                <w:bottom w:val="nil"/>
                <w:right w:val="nil"/>
                <w:between w:val="nil"/>
              </w:pBdr>
              <w:spacing w:line="276" w:lineRule="auto"/>
              <w:rPr>
                <w:rFonts w:ascii="標楷體" w:eastAsia="標楷體" w:hAnsi="標楷體" w:cs="BiauKai"/>
              </w:rPr>
            </w:pPr>
          </w:p>
        </w:tc>
        <w:tc>
          <w:tcPr>
            <w:tcW w:w="862" w:type="dxa"/>
            <w:vAlign w:val="center"/>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南</w:t>
            </w:r>
          </w:p>
        </w:tc>
        <w:tc>
          <w:tcPr>
            <w:tcW w:w="2911"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2,000</w:t>
            </w:r>
          </w:p>
        </w:tc>
        <w:tc>
          <w:tcPr>
            <w:tcW w:w="99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1,800</w:t>
            </w:r>
          </w:p>
        </w:tc>
        <w:tc>
          <w:tcPr>
            <w:tcW w:w="99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1,800</w:t>
            </w:r>
          </w:p>
        </w:tc>
        <w:tc>
          <w:tcPr>
            <w:tcW w:w="1232"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1,600</w:t>
            </w:r>
          </w:p>
        </w:tc>
        <w:tc>
          <w:tcPr>
            <w:tcW w:w="1036" w:type="dxa"/>
          </w:tcPr>
          <w:p w:rsidR="009528A1" w:rsidRPr="0006430C" w:rsidRDefault="009528A1" w:rsidP="001039E6">
            <w:pPr>
              <w:jc w:val="center"/>
              <w:rPr>
                <w:rFonts w:ascii="標楷體" w:eastAsia="標楷體" w:hAnsi="標楷體" w:cs="BiauKai"/>
              </w:rPr>
            </w:pPr>
            <w:r w:rsidRPr="0006430C">
              <w:rPr>
                <w:rFonts w:ascii="標楷體" w:eastAsia="標楷體" w:hAnsi="標楷體" w:cs="BiauKai"/>
              </w:rPr>
              <w:t>650</w:t>
            </w:r>
          </w:p>
        </w:tc>
        <w:tc>
          <w:tcPr>
            <w:tcW w:w="967" w:type="dxa"/>
          </w:tcPr>
          <w:p w:rsidR="009528A1" w:rsidRPr="0006430C" w:rsidRDefault="009528A1" w:rsidP="001039E6">
            <w:pPr>
              <w:jc w:val="center"/>
              <w:rPr>
                <w:rFonts w:ascii="標楷體" w:eastAsia="標楷體" w:hAnsi="標楷體" w:cs="BiauKai"/>
              </w:rPr>
            </w:pPr>
          </w:p>
        </w:tc>
      </w:tr>
    </w:tbl>
    <w:p w:rsidR="009528A1" w:rsidRPr="0006430C" w:rsidRDefault="009528A1" w:rsidP="009528A1">
      <w:pPr>
        <w:spacing w:before="120"/>
        <w:ind w:left="480" w:hanging="480"/>
        <w:rPr>
          <w:rFonts w:ascii="標楷體" w:eastAsia="標楷體" w:hAnsi="標楷體" w:cs="BiauKai"/>
        </w:rPr>
      </w:pPr>
      <w:bookmarkStart w:id="1" w:name="_heading=h.gjdgxs" w:colFirst="0" w:colLast="0"/>
      <w:bookmarkEnd w:id="1"/>
      <w:r w:rsidRPr="0006430C">
        <w:rPr>
          <w:rFonts w:ascii="標楷體" w:eastAsia="標楷體" w:hAnsi="標楷體" w:cs="BiauKai"/>
        </w:rPr>
        <w:t>1.旅費</w:t>
      </w:r>
      <w:proofErr w:type="gramStart"/>
      <w:r w:rsidRPr="0006430C">
        <w:rPr>
          <w:rFonts w:ascii="標楷體" w:eastAsia="標楷體" w:hAnsi="標楷體" w:cs="BiauKai"/>
        </w:rPr>
        <w:t>報支需於</w:t>
      </w:r>
      <w:proofErr w:type="gramEnd"/>
      <w:r w:rsidRPr="0006430C">
        <w:rPr>
          <w:rFonts w:ascii="標楷體" w:eastAsia="標楷體" w:hAnsi="標楷體" w:cs="BiauKai"/>
        </w:rPr>
        <w:t xml:space="preserve">出差後 </w:t>
      </w:r>
      <w:proofErr w:type="gramStart"/>
      <w:r w:rsidRPr="0006430C">
        <w:rPr>
          <w:rFonts w:ascii="標楷體" w:eastAsia="標楷體" w:hAnsi="標楷體" w:cs="BiauKai"/>
        </w:rPr>
        <w:t>一週</w:t>
      </w:r>
      <w:proofErr w:type="gramEnd"/>
      <w:r w:rsidRPr="0006430C">
        <w:rPr>
          <w:rFonts w:ascii="標楷體" w:eastAsia="標楷體" w:hAnsi="標楷體" w:cs="BiauKai"/>
        </w:rPr>
        <w:t>內報支。</w:t>
      </w:r>
    </w:p>
    <w:p w:rsidR="009528A1" w:rsidRPr="0006430C" w:rsidRDefault="009528A1" w:rsidP="009528A1">
      <w:pPr>
        <w:spacing w:before="120"/>
        <w:ind w:left="480" w:hanging="480"/>
        <w:rPr>
          <w:rFonts w:ascii="標楷體" w:eastAsia="標楷體" w:hAnsi="標楷體" w:cs="BiauKai"/>
        </w:rPr>
      </w:pPr>
      <w:r w:rsidRPr="0006430C">
        <w:rPr>
          <w:rFonts w:ascii="標楷體" w:eastAsia="標楷體" w:hAnsi="標楷體" w:cs="BiauKai"/>
        </w:rPr>
        <w:t>2.校外比賽之帶隊教師及學生，依實際情況另案簽辦，並依據此規定於合理範圍內實報實銷。</w:t>
      </w:r>
    </w:p>
    <w:p w:rsidR="009528A1" w:rsidRPr="0006430C" w:rsidRDefault="009528A1" w:rsidP="009528A1">
      <w:pPr>
        <w:spacing w:before="120"/>
        <w:ind w:left="240" w:hanging="240"/>
        <w:rPr>
          <w:rFonts w:ascii="標楷體" w:eastAsia="標楷體" w:hAnsi="標楷體" w:cs="BiauKai"/>
        </w:rPr>
      </w:pPr>
      <w:r w:rsidRPr="0006430C">
        <w:rPr>
          <w:rFonts w:ascii="標楷體" w:eastAsia="標楷體" w:hAnsi="標楷體" w:cs="BiauKai"/>
        </w:rPr>
        <w:t>3.</w:t>
      </w:r>
      <w:proofErr w:type="gramStart"/>
      <w:r w:rsidRPr="0006430C">
        <w:rPr>
          <w:rFonts w:ascii="標楷體" w:eastAsia="標楷體" w:hAnsi="標楷體" w:cs="BiauKai"/>
        </w:rPr>
        <w:t>此表所</w:t>
      </w:r>
      <w:proofErr w:type="gramEnd"/>
      <w:r w:rsidRPr="0006430C">
        <w:rPr>
          <w:rFonts w:ascii="標楷體" w:eastAsia="標楷體" w:hAnsi="標楷體" w:cs="BiauKai"/>
        </w:rPr>
        <w:t>列之北中南，北部包含苗栗以北、宜蘭及花蓮地區，中部包含嘉義以北至台中，南部包含台南以南及台東地區。</w:t>
      </w:r>
    </w:p>
    <w:p w:rsidR="008A296D" w:rsidRPr="009528A1" w:rsidRDefault="008A296D" w:rsidP="009528A1"/>
    <w:sectPr w:rsidR="008A296D" w:rsidRPr="009528A1" w:rsidSect="00974F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77B" w:rsidRDefault="003B577B" w:rsidP="00534E51">
      <w:r>
        <w:separator/>
      </w:r>
    </w:p>
  </w:endnote>
  <w:endnote w:type="continuationSeparator" w:id="0">
    <w:p w:rsidR="003B577B" w:rsidRDefault="003B577B" w:rsidP="0053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77B" w:rsidRDefault="003B577B" w:rsidP="00534E51">
      <w:r>
        <w:separator/>
      </w:r>
    </w:p>
  </w:footnote>
  <w:footnote w:type="continuationSeparator" w:id="0">
    <w:p w:rsidR="003B577B" w:rsidRDefault="003B577B" w:rsidP="00534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6D"/>
    <w:rsid w:val="00056D59"/>
    <w:rsid w:val="00300149"/>
    <w:rsid w:val="003B577B"/>
    <w:rsid w:val="004F73E5"/>
    <w:rsid w:val="00534E51"/>
    <w:rsid w:val="00566EE6"/>
    <w:rsid w:val="005F6B19"/>
    <w:rsid w:val="008A296D"/>
    <w:rsid w:val="008D7FF2"/>
    <w:rsid w:val="009528A1"/>
    <w:rsid w:val="00974FD4"/>
    <w:rsid w:val="00AE7BEB"/>
    <w:rsid w:val="00DA38F0"/>
    <w:rsid w:val="00EC62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A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96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A296D"/>
    <w:rPr>
      <w:rFonts w:asciiTheme="majorHAnsi" w:eastAsiaTheme="majorEastAsia" w:hAnsiTheme="majorHAnsi" w:cstheme="majorBidi"/>
      <w:sz w:val="18"/>
      <w:szCs w:val="18"/>
    </w:rPr>
  </w:style>
  <w:style w:type="table" w:styleId="a5">
    <w:name w:val="Table Grid"/>
    <w:basedOn w:val="a1"/>
    <w:uiPriority w:val="59"/>
    <w:rsid w:val="00AE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4E51"/>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首 字元"/>
    <w:basedOn w:val="a0"/>
    <w:link w:val="a6"/>
    <w:uiPriority w:val="99"/>
    <w:rsid w:val="00534E51"/>
    <w:rPr>
      <w:sz w:val="20"/>
      <w:szCs w:val="20"/>
    </w:rPr>
  </w:style>
  <w:style w:type="paragraph" w:styleId="a8">
    <w:name w:val="footer"/>
    <w:basedOn w:val="a"/>
    <w:link w:val="a9"/>
    <w:uiPriority w:val="99"/>
    <w:unhideWhenUsed/>
    <w:rsid w:val="00534E5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尾 字元"/>
    <w:basedOn w:val="a0"/>
    <w:link w:val="a8"/>
    <w:uiPriority w:val="99"/>
    <w:rsid w:val="00534E5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A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96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A296D"/>
    <w:rPr>
      <w:rFonts w:asciiTheme="majorHAnsi" w:eastAsiaTheme="majorEastAsia" w:hAnsiTheme="majorHAnsi" w:cstheme="majorBidi"/>
      <w:sz w:val="18"/>
      <w:szCs w:val="18"/>
    </w:rPr>
  </w:style>
  <w:style w:type="table" w:styleId="a5">
    <w:name w:val="Table Grid"/>
    <w:basedOn w:val="a1"/>
    <w:uiPriority w:val="59"/>
    <w:rsid w:val="00AE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4E51"/>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首 字元"/>
    <w:basedOn w:val="a0"/>
    <w:link w:val="a6"/>
    <w:uiPriority w:val="99"/>
    <w:rsid w:val="00534E51"/>
    <w:rPr>
      <w:sz w:val="20"/>
      <w:szCs w:val="20"/>
    </w:rPr>
  </w:style>
  <w:style w:type="paragraph" w:styleId="a8">
    <w:name w:val="footer"/>
    <w:basedOn w:val="a"/>
    <w:link w:val="a9"/>
    <w:uiPriority w:val="99"/>
    <w:unhideWhenUsed/>
    <w:rsid w:val="00534E5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尾 字元"/>
    <w:basedOn w:val="a0"/>
    <w:link w:val="a8"/>
    <w:uiPriority w:val="99"/>
    <w:rsid w:val="00534E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dc:creator>
  <cp:lastModifiedBy>cfs</cp:lastModifiedBy>
  <cp:revision>4</cp:revision>
  <cp:lastPrinted>2019-09-02T06:55:00Z</cp:lastPrinted>
  <dcterms:created xsi:type="dcterms:W3CDTF">2019-08-12T04:51:00Z</dcterms:created>
  <dcterms:modified xsi:type="dcterms:W3CDTF">2019-10-04T00:29:00Z</dcterms:modified>
</cp:coreProperties>
</file>